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F401CD" w14:paraId="78E38A0E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61004F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2A9335F0" wp14:editId="6C88F9F9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5CB24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0C5EE20C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2F12A227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F401CD" w14:paraId="1FE6625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C343DC3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950407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B32334A" w14:textId="77777777" w:rsidR="00135B40" w:rsidRPr="004E0E11" w:rsidRDefault="00F93206" w:rsidP="000813C2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764192880"/>
                <w:placeholder>
                  <w:docPart w:val="E6A1A9D79D4C4506BAC2993B662C1273"/>
                </w:placeholder>
              </w:sdtPr>
              <w:sdtEndPr/>
              <w:sdtContent>
                <w:r w:rsidR="00135B4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  <w:r w:rsidR="009F52C6">
              <w:rPr>
                <w:rFonts w:ascii="Times New Roman" w:hAnsi="Times New Roman" w:cs="Times New Roman"/>
                <w:lang w:val="is-IS"/>
              </w:rPr>
              <w:t>Frumvarp um</w:t>
            </w:r>
            <w:r w:rsidR="007A4EFE">
              <w:rPr>
                <w:rFonts w:ascii="Times New Roman" w:hAnsi="Times New Roman" w:cs="Times New Roman"/>
                <w:lang w:val="is-IS"/>
              </w:rPr>
              <w:t xml:space="preserve"> brottfall ýmissa laga (úrelt lög), </w:t>
            </w:r>
            <w:r w:rsidR="007A4EFE" w:rsidRPr="000813C2">
              <w:rPr>
                <w:rFonts w:ascii="Times New Roman" w:hAnsi="Times New Roman" w:cs="Times New Roman"/>
                <w:lang w:val="is-IS"/>
              </w:rPr>
              <w:t>FJR</w:t>
            </w:r>
            <w:r w:rsidR="000813C2">
              <w:rPr>
                <w:rFonts w:ascii="Times New Roman" w:hAnsi="Times New Roman" w:cs="Times New Roman"/>
                <w:lang w:val="is-IS"/>
              </w:rPr>
              <w:t>19030032</w:t>
            </w:r>
          </w:p>
        </w:tc>
      </w:tr>
      <w:tr w:rsidR="00135B40" w:rsidRPr="00BF5ACD" w14:paraId="30BBD06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4588ABC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00830185" w:edGrp="everyone" w:colFirst="1" w:colLast="1"/>
            <w:permEnd w:id="18950407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33CF3F4A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714EA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135B40" w:rsidRPr="00F401CD" w14:paraId="03D6938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037B792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05639714" w:edGrp="everyone" w:colFirst="1" w:colLast="1"/>
            <w:permEnd w:id="500830185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648A2AF0" w14:textId="77777777" w:rsidR="00135B40" w:rsidRPr="004E0E11" w:rsidRDefault="00F93206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E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239E1D4B" w14:textId="77777777" w:rsidR="00135B40" w:rsidRPr="004E0E11" w:rsidRDefault="00F93206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67CE9F7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364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542787" w:edGrp="everyone" w:colFirst="1" w:colLast="1"/>
            <w:permEnd w:id="1405639714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CFE84" w14:textId="5D2559B4" w:rsidR="00135B40" w:rsidRPr="004E0E11" w:rsidRDefault="00135B40" w:rsidP="00AD176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401CD">
                  <w:rPr>
                    <w:rFonts w:ascii="Times New Roman" w:hAnsi="Times New Roman" w:cs="Times New Roman"/>
                    <w:lang w:val="is-IS"/>
                  </w:rPr>
                  <w:t>17. október</w:t>
                </w:r>
                <w:r w:rsidR="00B622C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714EA">
                  <w:rPr>
                    <w:rFonts w:ascii="Times New Roman" w:hAnsi="Times New Roman" w:cs="Times New Roman"/>
                    <w:lang w:val="is-IS"/>
                  </w:rPr>
                  <w:t>2019</w:t>
                </w:r>
              </w:p>
            </w:tc>
          </w:sdtContent>
        </w:sdt>
      </w:tr>
      <w:permEnd w:id="8542787"/>
    </w:tbl>
    <w:p w14:paraId="612884AA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5BAA70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A766916" w14:textId="77777777" w:rsidR="00263F72" w:rsidRPr="007478E0" w:rsidRDefault="00AD6D06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F401CD" w14:paraId="4525B8CF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lang w:val="is-IS"/>
              </w:rPr>
              <w:id w:val="580805120"/>
            </w:sdtPr>
            <w:sdtEndPr/>
            <w:sdtContent>
              <w:permStart w:id="1739201646" w:edGrp="everyone" w:displacedByCustomXml="prev"/>
              <w:p w14:paraId="07398811" w14:textId="51135118" w:rsidR="00CA3381" w:rsidRPr="00F401CD" w:rsidRDefault="00AD6D06" w:rsidP="00F401C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 w:rsidRPr="00F401CD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 w:rsidRPr="00F401CD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5B2AEF"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>Áform</w:t>
                </w:r>
                <w:r w:rsidR="00A63247" w:rsidRPr="00F401CD">
                  <w:rPr>
                    <w:rFonts w:ascii="Times New Roman" w:hAnsi="Times New Roman" w:cs="Times New Roman"/>
                    <w:lang w:val="is-IS"/>
                  </w:rPr>
                  <w:t xml:space="preserve">uð lagasetning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 xml:space="preserve">felur í sér að ýmis úrelt lög verða felld á brott. </w:t>
                </w:r>
                <w:r w:rsidR="00A63247" w:rsidRPr="00F401CD">
                  <w:rPr>
                    <w:rFonts w:ascii="Times New Roman" w:hAnsi="Times New Roman" w:cs="Times New Roman"/>
                    <w:lang w:val="is-IS"/>
                  </w:rPr>
                  <w:t>B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 xml:space="preserve">rottfall úreltra laga </w:t>
                </w:r>
                <w:r w:rsidR="00A63247" w:rsidRPr="00F401CD">
                  <w:rPr>
                    <w:rFonts w:ascii="Times New Roman" w:hAnsi="Times New Roman" w:cs="Times New Roman"/>
                    <w:lang w:val="is-IS"/>
                  </w:rPr>
                  <w:t xml:space="preserve">sem lokið hafa hlutverki sínu eða hafa aldrei komið til framkvæmdar getur </w:t>
                </w:r>
                <w:r w:rsidR="00F401CD">
                  <w:rPr>
                    <w:rFonts w:ascii="Times New Roman" w:hAnsi="Times New Roman" w:cs="Times New Roman"/>
                    <w:lang w:val="is-IS"/>
                  </w:rPr>
                  <w:t>ekki haft</w:t>
                </w:r>
                <w:r w:rsidR="00A63247" w:rsidRPr="00F401C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>fjárhagsleg á ríkissjóð.</w:t>
                </w:r>
              </w:p>
            </w:sdtContent>
          </w:sdt>
          <w:permEnd w:id="1739201646" w:displacedByCustomXml="prev"/>
        </w:tc>
      </w:tr>
      <w:tr w:rsidR="00263F72" w:rsidRPr="00F401CD" w14:paraId="6AC132F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32FC5B9" w14:textId="77777777" w:rsidR="00263F72" w:rsidRPr="007478E0" w:rsidRDefault="00AD6D06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01174218" w14:textId="77777777" w:rsidTr="00FD2097">
        <w:trPr>
          <w:trHeight w:val="826"/>
        </w:trPr>
        <w:tc>
          <w:tcPr>
            <w:tcW w:w="9288" w:type="dxa"/>
          </w:tcPr>
          <w:permStart w:id="94327233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/>
            <w:sdtContent>
              <w:p w14:paraId="778EE130" w14:textId="314906BB" w:rsidR="00FD25C1" w:rsidRPr="005B2AEF" w:rsidRDefault="00237053" w:rsidP="00FD25C1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  <w:r w:rsidR="00FD25C1" w:rsidRPr="005B2AEF">
                  <w:rPr>
                    <w:rFonts w:ascii="Times New Roman" w:hAnsi="Times New Roman" w:cs="Times New Roman"/>
                    <w:lang w:val="is-IS"/>
                  </w:rPr>
                  <w:t xml:space="preserve">Engin fjárhagsáhrif leiða af frumvarpinu. </w:t>
                </w:r>
              </w:p>
              <w:p w14:paraId="4C0AFAED" w14:textId="6CFA5B3B" w:rsidR="004C0FDF" w:rsidRPr="005B2AEF" w:rsidRDefault="00237053" w:rsidP="00F93206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>ig er þá ætlunin að finna þeim stað innan útgjaldaramma málaflokks t.d. með tilfærslu fjármuna eða með því að draga úr öðrum útgjöldum?</w:t>
                </w:r>
                <w:r w:rsidR="005B2AEF" w:rsidRP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C0FDF" w:rsidRPr="005B2AEF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A63247" w:rsidRPr="005B2AEF">
                  <w:rPr>
                    <w:rFonts w:ascii="Times New Roman" w:hAnsi="Times New Roman" w:cs="Times New Roman"/>
                    <w:lang w:val="is-IS"/>
                  </w:rPr>
                  <w:t>, sbr. lið 1</w:t>
                </w:r>
                <w:r w:rsidR="004C0FDF" w:rsidRPr="005B2AE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D56AC27" w14:textId="7D6C17C7" w:rsidR="00CA3381" w:rsidRPr="000D6E33" w:rsidRDefault="00237053" w:rsidP="005B2AEF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C0FDF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943272337"/>
      <w:tr w:rsidR="00263F72" w:rsidRPr="00BF5ACD" w14:paraId="1D36E10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44F31D0" w14:textId="77777777" w:rsidR="00263F72" w:rsidRPr="007478E0" w:rsidRDefault="00AD6D06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F401CD" w14:paraId="144988CD" w14:textId="77777777" w:rsidTr="00FD2097">
        <w:trPr>
          <w:trHeight w:val="826"/>
        </w:trPr>
        <w:tc>
          <w:tcPr>
            <w:tcW w:w="9288" w:type="dxa"/>
          </w:tcPr>
          <w:permStart w:id="108214492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D631D69" w14:textId="77777777" w:rsidR="00FD2097" w:rsidRDefault="00A410EA" w:rsidP="00A410EA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E6C1F82" w14:textId="274A5804" w:rsidR="004C0FDF" w:rsidRPr="00CA3381" w:rsidRDefault="00B622CB" w:rsidP="004C0FDF">
                <w:pPr>
                  <w:pStyle w:val="Listeafsnit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Fyrirhugað frumvarp mun ekki hafa </w:t>
                </w:r>
                <w:r w:rsidR="00FD25C1">
                  <w:rPr>
                    <w:rFonts w:ascii="Times New Roman" w:hAnsi="Times New Roman" w:cs="Times New Roman"/>
                    <w:lang w:val="is-IS"/>
                  </w:rPr>
                  <w:t>þess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D25C1">
                  <w:rPr>
                    <w:rFonts w:ascii="Times New Roman" w:hAnsi="Times New Roman" w:cs="Times New Roman"/>
                    <w:lang w:val="is-IS"/>
                  </w:rPr>
                  <w:t>háttar áhrif.</w:t>
                </w:r>
              </w:p>
              <w:p w14:paraId="55019A50" w14:textId="43D9691B" w:rsidR="001B69DD" w:rsidRPr="004E0E11" w:rsidRDefault="00A410EA" w:rsidP="00F93206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989D1F8" w14:textId="7D702B2A" w:rsidR="004C0FDF" w:rsidRDefault="00DD6E0C" w:rsidP="004C0FDF">
                <w:pPr>
                  <w:pStyle w:val="Listeafsnit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Áformin hafa ekki áhrif á fyrirtækjaeftirlit. </w:t>
                </w:r>
              </w:p>
              <w:p w14:paraId="42F6E204" w14:textId="772AD72B" w:rsidR="00CA3381" w:rsidRPr="004C0FDF" w:rsidRDefault="00A410EA" w:rsidP="00F93206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DD6E0C" w:rsidRPr="00DD6E0C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B622CB">
                  <w:rPr>
                    <w:rFonts w:ascii="Times New Roman" w:hAnsi="Times New Roman" w:cs="Times New Roman"/>
                    <w:lang w:val="is-IS"/>
                  </w:rPr>
                  <w:t xml:space="preserve">ngar líkur eru til þess </w:t>
                </w:r>
                <w:r w:rsidR="00DD6E0C" w:rsidRPr="00DD6E0C">
                  <w:rPr>
                    <w:rFonts w:ascii="Times New Roman" w:hAnsi="Times New Roman" w:cs="Times New Roman"/>
                    <w:lang w:val="is-IS"/>
                  </w:rPr>
                  <w:t xml:space="preserve">að breytingar tengdar áformuðu lagafrumvarpi muni hafa áhrif </w:t>
                </w:r>
                <w:r w:rsidR="00DD6E0C">
                  <w:rPr>
                    <w:rFonts w:ascii="Times New Roman" w:hAnsi="Times New Roman" w:cs="Times New Roman"/>
                    <w:lang w:val="is-IS"/>
                  </w:rPr>
                  <w:t>á samkeppni</w:t>
                </w:r>
                <w:r w:rsidR="00A63247">
                  <w:rPr>
                    <w:rFonts w:ascii="Times New Roman" w:hAnsi="Times New Roman" w:cs="Times New Roman"/>
                    <w:lang w:val="is-IS"/>
                  </w:rPr>
                  <w:t xml:space="preserve"> eða samkeppnisskilyrði</w:t>
                </w:r>
                <w:r w:rsidR="00DD6E0C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082144923"/>
      <w:tr w:rsidR="000D6E33" w:rsidRPr="00BF5ACD" w14:paraId="1A590A5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411CFAD" w14:textId="77777777" w:rsidR="000D6E33" w:rsidRPr="007478E0" w:rsidRDefault="00AD6D06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F401CD" w14:paraId="27C647D2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99525632" w:edGrp="everyone" w:displacedByCustomXml="prev"/>
              <w:p w14:paraId="64EDC9E6" w14:textId="77777777" w:rsidR="00CE06FC" w:rsidRPr="00CE06FC" w:rsidRDefault="00AC19E3" w:rsidP="00AC19E3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</w:p>
              <w:p w14:paraId="4539290D" w14:textId="77777777" w:rsidR="00CE06FC" w:rsidRPr="004E0E11" w:rsidRDefault="00AC19E3" w:rsidP="00AC19E3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</w:p>
              <w:p w14:paraId="4766622C" w14:textId="77777777" w:rsidR="00CE06FC" w:rsidRPr="004E0E11" w:rsidRDefault="00AC19E3" w:rsidP="00AC19E3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tæknilegar reglur um vöru og fjarþjónustu, sbr. lög nr. 57/2000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27F85DCB" w14:textId="3E94C99D" w:rsidR="00346619" w:rsidRDefault="00A63247" w:rsidP="005B2AEF">
                <w:pPr>
                  <w:spacing w:before="60" w:after="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4.-8. </w:t>
                </w:r>
                <w:r w:rsidR="00AC19E3" w:rsidRPr="00A63247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AC19E3" w:rsidRPr="00AC19E3">
                  <w:rPr>
                    <w:rFonts w:ascii="Times New Roman" w:hAnsi="Times New Roman" w:cs="Times New Roman"/>
                    <w:b/>
                    <w:lang w:val="is-IS"/>
                  </w:rPr>
                  <w:t>frjáls félagasamtök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AC19E3" w:rsidRPr="004E0E11">
                  <w:rPr>
                    <w:rFonts w:ascii="Times New Roman" w:hAnsi="Times New Roman" w:cs="Times New Roman"/>
                    <w:b/>
                    <w:lang w:val="is-IS"/>
                  </w:rPr>
                  <w:t>jafnrétti kynjanna</w:t>
                </w:r>
                <w:r w:rsid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346619" w:rsidRPr="00346619">
                  <w:rPr>
                    <w:rFonts w:ascii="Times New Roman" w:hAnsi="Times New Roman" w:cs="Times New Roman"/>
                    <w:b/>
                    <w:lang w:val="is-IS"/>
                  </w:rPr>
                  <w:t>lýðheilsu</w:t>
                </w:r>
              </w:p>
              <w:p w14:paraId="05D4F869" w14:textId="36A3BDE6" w:rsidR="00346619" w:rsidRPr="005B2AEF" w:rsidRDefault="00346619" w:rsidP="005B2AEF">
                <w:pPr>
                  <w:pStyle w:val="Listeafsnit"/>
                  <w:numPr>
                    <w:ilvl w:val="0"/>
                    <w:numId w:val="30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</w:p>
              <w:p w14:paraId="06F39166" w14:textId="3CD8B410" w:rsidR="00346619" w:rsidRDefault="00346619" w:rsidP="00F93206">
                <w:pPr>
                  <w:pStyle w:val="Listeafsnit"/>
                  <w:numPr>
                    <w:ilvl w:val="0"/>
                    <w:numId w:val="30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mæri</w:t>
                </w:r>
              </w:p>
              <w:p w14:paraId="132E4A5F" w14:textId="6D62A128" w:rsidR="00346619" w:rsidRDefault="00346619" w:rsidP="00F93206">
                <w:pPr>
                  <w:pStyle w:val="Listeafsnit"/>
                  <w:numPr>
                    <w:ilvl w:val="0"/>
                    <w:numId w:val="30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s.s. hvort ráðuneyti og stofnanir eru í stakk búin til að taka við verk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efni</w:t>
                </w:r>
              </w:p>
              <w:p w14:paraId="68E500BF" w14:textId="2B9E2DED" w:rsidR="00346619" w:rsidRDefault="00346619" w:rsidP="00F93206">
                <w:pPr>
                  <w:pStyle w:val="Listeafsnit"/>
                  <w:numPr>
                    <w:ilvl w:val="0"/>
                    <w:numId w:val="30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stöðu tiltekinna þjóðfélagshópa, s.s. aldurshópa, tekjuhópa, mismunandi fjöl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skyld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bookmarkStart w:id="0" w:name="_GoBack"/>
                <w:bookmarkEnd w:id="0"/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gerð</w:t>
                </w:r>
                <w:r w:rsidR="00F93206">
                  <w:rPr>
                    <w:rFonts w:ascii="Times New Roman" w:hAnsi="Times New Roman" w:cs="Times New Roman"/>
                    <w:b/>
                    <w:lang w:val="is-IS"/>
                  </w:rPr>
                  <w:softHyphen/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ir, launþega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</w:p>
              <w:p w14:paraId="131F3BBD" w14:textId="77777777" w:rsidR="004C0FDF" w:rsidRDefault="00346619" w:rsidP="005B2AEF">
                <w:pPr>
                  <w:pStyle w:val="Listeafsnit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Áhrif á umhverfi og sjálfbæra þróun</w:t>
                </w:r>
              </w:p>
              <w:p w14:paraId="30437AAF" w14:textId="3F54782B" w:rsidR="000D6E33" w:rsidRPr="00A63247" w:rsidRDefault="00A63247" w:rsidP="00A63247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A63247">
                  <w:rPr>
                    <w:rFonts w:ascii="Times New Roman" w:hAnsi="Times New Roman" w:cs="Times New Roman"/>
                    <w:lang w:val="is-IS"/>
                  </w:rPr>
                  <w:t xml:space="preserve">Ekkert af ofangreindu á </w:t>
                </w:r>
                <w:r w:rsidR="004C0FDF" w:rsidRPr="00A63247">
                  <w:rPr>
                    <w:rFonts w:ascii="Times New Roman" w:hAnsi="Times New Roman" w:cs="Times New Roman"/>
                    <w:lang w:val="is-IS"/>
                  </w:rPr>
                  <w:t>við.</w:t>
                </w:r>
                <w:r w:rsidR="00346619" w:rsidRPr="00A6324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99525632" w:displacedByCustomXml="next"/>
            </w:sdtContent>
          </w:sdt>
        </w:tc>
      </w:tr>
      <w:tr w:rsidR="00311838" w:rsidRPr="00F401CD" w14:paraId="1EEA0C4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CBDF843" w14:textId="77777777" w:rsidR="00311838" w:rsidRPr="007478E0" w:rsidRDefault="00AD6D06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F401CD" w14:paraId="063F32FF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68476819" w:edGrp="everyone" w:displacedByCustomXml="prev"/>
              <w:p w14:paraId="13E646BB" w14:textId="4746D8DB" w:rsidR="000073F7" w:rsidRPr="00F401CD" w:rsidRDefault="000073F7" w:rsidP="00F93206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F401CD"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DD6E0C" w:rsidRPr="00F401CD">
                  <w:rPr>
                    <w:rFonts w:ascii="Times New Roman" w:hAnsi="Times New Roman" w:cs="Times New Roman"/>
                    <w:lang w:val="is-IS"/>
                  </w:rPr>
                  <w:t>Engin fyrirséð nettó fjárhagsáhrif á ríkissjóð.</w:t>
                </w:r>
                <w:r w:rsidRPr="00F401C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434313B" w14:textId="01A48B16" w:rsidR="000073F7" w:rsidRPr="005B2AEF" w:rsidRDefault="000073F7" w:rsidP="00F93206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>Önnur áhrif en bein fjárhagsáhrif, álitamál eða fyrirvarar sem ástæða þykir til að vekja athygli á</w:t>
                </w:r>
                <w:r w:rsidR="005B2AEF" w:rsidRP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DD6E0C" w:rsidRPr="005B2AEF">
                  <w:rPr>
                    <w:rFonts w:ascii="Times New Roman" w:hAnsi="Times New Roman" w:cs="Times New Roman"/>
                    <w:lang w:val="is-IS"/>
                  </w:rPr>
                  <w:t>Engin.</w:t>
                </w:r>
                <w:r w:rsidRPr="005B2AE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F4DB414" w14:textId="47162EAF" w:rsidR="00DD6E0C" w:rsidRDefault="00346619" w:rsidP="00F93206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</w:t>
                </w:r>
                <w:r w:rsidR="00F401C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15147DF" w14:textId="008BC1A5" w:rsidR="00CA3381" w:rsidRPr="00F401CD" w:rsidRDefault="005B2AEF" w:rsidP="00F401C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401CD">
                  <w:rPr>
                    <w:rFonts w:ascii="Times New Roman" w:hAnsi="Times New Roman" w:cs="Times New Roman"/>
                    <w:lang w:val="is-IS"/>
                  </w:rPr>
                  <w:t xml:space="preserve">Umræða um </w:t>
                </w:r>
                <w:r w:rsidR="00DD6E0C" w:rsidRPr="00F401CD">
                  <w:rPr>
                    <w:rFonts w:ascii="Times New Roman" w:hAnsi="Times New Roman" w:cs="Times New Roman"/>
                    <w:lang w:val="is-IS"/>
                  </w:rPr>
                  <w:t xml:space="preserve">lagahreinsun og lagasamræmingu </w:t>
                </w:r>
                <w:r w:rsidRPr="00F401CD">
                  <w:rPr>
                    <w:rFonts w:ascii="Times New Roman" w:hAnsi="Times New Roman" w:cs="Times New Roman"/>
                    <w:lang w:val="is-IS"/>
                  </w:rPr>
                  <w:t>skýtur reglulega upp kollinum og sjónarmið þar að baki eru þekkt og almennt viðurkennd</w:t>
                </w:r>
                <w:r w:rsidR="00DD6E0C" w:rsidRPr="00F401CD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1E66E4" w:rsidRPr="00F401C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 xml:space="preserve">Rök </w:t>
                </w:r>
                <w:r w:rsidRPr="00F401CD">
                  <w:rPr>
                    <w:rFonts w:ascii="Times New Roman" w:hAnsi="Times New Roman" w:cs="Times New Roman"/>
                    <w:lang w:val="is-IS"/>
                  </w:rPr>
                  <w:t>standa til þess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 xml:space="preserve"> að lagaákvæði sem úrelt eru og gegna ekki lengur tilætluðu hlutverki, séu formlega numin úr lögum. Þau tilheyra réttarsögunni</w:t>
                </w:r>
                <w:r w:rsidRPr="00F401CD">
                  <w:rPr>
                    <w:rFonts w:ascii="Times New Roman" w:hAnsi="Times New Roman" w:cs="Times New Roman"/>
                    <w:lang w:val="is-IS"/>
                  </w:rPr>
                  <w:t xml:space="preserve"> en auk þess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 xml:space="preserve">flækjast </w:t>
                </w:r>
                <w:r w:rsidRPr="00F401CD">
                  <w:rPr>
                    <w:rFonts w:ascii="Times New Roman" w:hAnsi="Times New Roman" w:cs="Times New Roman"/>
                    <w:lang w:val="is-IS"/>
                  </w:rPr>
                  <w:t xml:space="preserve">þau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>fyrir í lagasöfnum</w:t>
                </w:r>
                <w:r w:rsidR="001E66E4" w:rsidRPr="00F401CD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3F52E6" w:rsidRPr="00F401CD">
                  <w:rPr>
                    <w:rFonts w:ascii="Times New Roman" w:hAnsi="Times New Roman" w:cs="Times New Roman"/>
                    <w:lang w:val="is-IS"/>
                  </w:rPr>
                  <w:t>geta valdið óvissu í lagaframkvæmd.</w:t>
                </w:r>
                <w:r w:rsidR="000073F7" w:rsidRPr="00F401CD">
                  <w:rPr>
                    <w:rFonts w:ascii="Times New Roman" w:hAnsi="Times New Roman" w:cs="Times New Roman"/>
                    <w:lang w:val="is-IS"/>
                  </w:rPr>
                  <w:t>)</w:t>
                </w:r>
              </w:p>
              <w:permEnd w:id="1568476819" w:displacedByCustomXml="next"/>
            </w:sdtContent>
          </w:sdt>
        </w:tc>
      </w:tr>
      <w:tr w:rsidR="00EB6651" w:rsidRPr="00F401CD" w14:paraId="68B1EFC2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41941337" w14:textId="77777777" w:rsidR="00EB6651" w:rsidRPr="005B2AEF" w:rsidRDefault="00D64A3D" w:rsidP="00D64A3D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A6A6A6" w:themeColor="background1" w:themeShade="A6"/>
                <w:lang w:val="is-IS"/>
              </w:rPr>
            </w:pPr>
            <w:r w:rsidRPr="005B2AEF">
              <w:rPr>
                <w:rFonts w:ascii="Times New Roman" w:hAnsi="Times New Roman" w:cs="Times New Roman"/>
                <w:b/>
                <w:color w:val="A6A6A6" w:themeColor="background1" w:themeShade="A6"/>
                <w:lang w:val="is-IS"/>
              </w:rPr>
              <w:t>Til útfyllingar vegna endanlegs mats – breytingar frá frummati</w:t>
            </w:r>
          </w:p>
        </w:tc>
      </w:tr>
      <w:tr w:rsidR="00EB6651" w:rsidRPr="00F401CD" w14:paraId="1C0EABC9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color w:val="A6A6A6" w:themeColor="background1" w:themeShade="A6"/>
                <w:lang w:val="is-IS"/>
              </w:rPr>
              <w:id w:val="-1269299813"/>
            </w:sdtPr>
            <w:sdtEndPr/>
            <w:sdtContent>
              <w:permStart w:id="1577134922" w:edGrp="everyone" w:displacedByCustomXml="prev"/>
              <w:p w14:paraId="0D47C9F5" w14:textId="00E5ADDD" w:rsidR="00EB6651" w:rsidRPr="005B2AEF" w:rsidRDefault="00D64A3D" w:rsidP="00D64A3D">
                <w:pPr>
                  <w:pStyle w:val="Listeafsnit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Voru áform um lagasetninguna ásamt frummati á áhrifum kynnt fyrir FJR?</w:t>
                </w:r>
                <w:r w:rsidR="00EB6651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 </w:t>
                </w:r>
                <w:r w:rsidR="00B622CB" w:rsidRPr="005B2AEF">
                  <w:rPr>
                    <w:rFonts w:ascii="Times New Roman" w:hAnsi="Times New Roman" w:cs="Times New Roman"/>
                    <w:color w:val="A6A6A6" w:themeColor="background1" w:themeShade="A6"/>
                    <w:lang w:val="is-IS"/>
                  </w:rPr>
                  <w:t>.</w:t>
                </w:r>
              </w:p>
              <w:p w14:paraId="38E64CF2" w14:textId="77777777" w:rsidR="00EB6651" w:rsidRPr="005B2AEF" w:rsidRDefault="00D64A3D" w:rsidP="00D64A3D">
                <w:pPr>
                  <w:pStyle w:val="Listeafsnit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Eru helstu efnisatriði frumvarpsins óbreytt/lítið breytt frá þeim tíma?</w:t>
                </w:r>
                <w:r w:rsidR="00EB6651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 </w:t>
                </w:r>
              </w:p>
              <w:p w14:paraId="2DB88D3A" w14:textId="77777777" w:rsidR="00EB6651" w:rsidRPr="005B2AEF" w:rsidRDefault="00D64A3D" w:rsidP="00F93206">
                <w:pPr>
                  <w:pStyle w:val="Listeafsnit"/>
                  <w:numPr>
                    <w:ilvl w:val="0"/>
                    <w:numId w:val="24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</w:pP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Ef gerðar hafa verið breytingar</w:t>
                </w:r>
                <w:r w:rsidR="008E4EEE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 umfram það</w:t>
                </w: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, sbr. það </w:t>
                </w:r>
                <w:r w:rsidR="00C10D1B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frum</w:t>
                </w: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mat á áhrifum frumvarpsins sem </w:t>
                </w:r>
                <w:r w:rsidR="008E4EEE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áður var kynnt</w:t>
                </w:r>
                <w:r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, </w:t>
                </w:r>
                <w:r w:rsidR="008E4EEE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hverjar eru þær</w:t>
                </w:r>
                <w:r w:rsidR="000073F7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 og hver eru fjárhagsáhrifin</w:t>
                </w:r>
                <w:r w:rsidR="008E4EEE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>?</w:t>
                </w:r>
                <w:r w:rsidR="00EB6651" w:rsidRPr="005B2AEF">
                  <w:rPr>
                    <w:rFonts w:ascii="Times New Roman" w:hAnsi="Times New Roman" w:cs="Times New Roman"/>
                    <w:b/>
                    <w:color w:val="A6A6A6" w:themeColor="background1" w:themeShade="A6"/>
                    <w:lang w:val="is-IS"/>
                  </w:rPr>
                  <w:t xml:space="preserve"> </w:t>
                </w:r>
              </w:p>
              <w:permEnd w:id="1577134922" w:displacedByCustomXml="next"/>
            </w:sdtContent>
          </w:sdt>
        </w:tc>
      </w:tr>
    </w:tbl>
    <w:p w14:paraId="47553306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4E46" w14:textId="77777777" w:rsidR="009D02D6" w:rsidRDefault="009D02D6" w:rsidP="007478E0">
      <w:pPr>
        <w:spacing w:after="0" w:line="240" w:lineRule="auto"/>
      </w:pPr>
      <w:r>
        <w:separator/>
      </w:r>
    </w:p>
  </w:endnote>
  <w:endnote w:type="continuationSeparator" w:id="0">
    <w:p w14:paraId="37603AB3" w14:textId="77777777" w:rsidR="009D02D6" w:rsidRDefault="009D02D6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40ED1" w14:textId="3E0B39E5" w:rsidR="002A4788" w:rsidRDefault="002A4788" w:rsidP="002A478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06" w:rsidRPr="00F93206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391928D1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60DE" w14:textId="77777777" w:rsidR="009D02D6" w:rsidRDefault="009D02D6" w:rsidP="007478E0">
      <w:pPr>
        <w:spacing w:after="0" w:line="240" w:lineRule="auto"/>
      </w:pPr>
      <w:r>
        <w:separator/>
      </w:r>
    </w:p>
  </w:footnote>
  <w:footnote w:type="continuationSeparator" w:id="0">
    <w:p w14:paraId="400971A9" w14:textId="77777777" w:rsidR="009D02D6" w:rsidRDefault="009D02D6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A3BCF9BC"/>
    <w:lvl w:ilvl="0" w:tplc="50ECF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4CAF"/>
    <w:multiLevelType w:val="hybridMultilevel"/>
    <w:tmpl w:val="9CC0DC58"/>
    <w:lvl w:ilvl="0" w:tplc="040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8"/>
  </w:num>
  <w:num w:numId="5">
    <w:abstractNumId w:val="19"/>
  </w:num>
  <w:num w:numId="6">
    <w:abstractNumId w:val="12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25"/>
  </w:num>
  <w:num w:numId="12">
    <w:abstractNumId w:val="27"/>
  </w:num>
  <w:num w:numId="13">
    <w:abstractNumId w:val="2"/>
  </w:num>
  <w:num w:numId="14">
    <w:abstractNumId w:val="3"/>
  </w:num>
  <w:num w:numId="15">
    <w:abstractNumId w:val="29"/>
  </w:num>
  <w:num w:numId="16">
    <w:abstractNumId w:val="0"/>
  </w:num>
  <w:num w:numId="17">
    <w:abstractNumId w:val="14"/>
  </w:num>
  <w:num w:numId="18">
    <w:abstractNumId w:val="23"/>
  </w:num>
  <w:num w:numId="19">
    <w:abstractNumId w:val="24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  <w:num w:numId="24">
    <w:abstractNumId w:val="4"/>
  </w:num>
  <w:num w:numId="25">
    <w:abstractNumId w:val="9"/>
  </w:num>
  <w:num w:numId="26">
    <w:abstractNumId w:val="7"/>
  </w:num>
  <w:num w:numId="27">
    <w:abstractNumId w:val="26"/>
  </w:num>
  <w:num w:numId="28">
    <w:abstractNumId w:val="5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714EA"/>
    <w:rsid w:val="000813C2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66E4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2E6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C0FD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4568C"/>
    <w:rsid w:val="005641B1"/>
    <w:rsid w:val="00564856"/>
    <w:rsid w:val="00581E9F"/>
    <w:rsid w:val="00592E19"/>
    <w:rsid w:val="005A2A30"/>
    <w:rsid w:val="005B2AEF"/>
    <w:rsid w:val="005B46C8"/>
    <w:rsid w:val="005C123A"/>
    <w:rsid w:val="005C1678"/>
    <w:rsid w:val="005E44E3"/>
    <w:rsid w:val="005F6E54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0F96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A4EFE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8F0434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D02D6"/>
    <w:rsid w:val="009F43E8"/>
    <w:rsid w:val="009F52C6"/>
    <w:rsid w:val="009F64EA"/>
    <w:rsid w:val="00A01DD4"/>
    <w:rsid w:val="00A30C51"/>
    <w:rsid w:val="00A3629C"/>
    <w:rsid w:val="00A40657"/>
    <w:rsid w:val="00A410EA"/>
    <w:rsid w:val="00A51298"/>
    <w:rsid w:val="00A63247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1764"/>
    <w:rsid w:val="00AD6D06"/>
    <w:rsid w:val="00AE50E5"/>
    <w:rsid w:val="00B339AF"/>
    <w:rsid w:val="00B622CB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6E0C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401CD"/>
    <w:rsid w:val="00F51F2D"/>
    <w:rsid w:val="00F55F5D"/>
    <w:rsid w:val="00F656C4"/>
    <w:rsid w:val="00F7438A"/>
    <w:rsid w:val="00F841D8"/>
    <w:rsid w:val="00F92D2C"/>
    <w:rsid w:val="00F93206"/>
    <w:rsid w:val="00F93B5C"/>
    <w:rsid w:val="00F9608F"/>
    <w:rsid w:val="00FA7664"/>
    <w:rsid w:val="00FC7B48"/>
    <w:rsid w:val="00FD2097"/>
    <w:rsid w:val="00FD25C1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4E417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65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65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65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Korrektur">
    <w:name w:val="Revision"/>
    <w:hidden/>
    <w:uiPriority w:val="99"/>
    <w:semiHidden/>
    <w:rsid w:val="00C412C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8E0"/>
  </w:style>
  <w:style w:type="paragraph" w:styleId="Sidefod">
    <w:name w:val="footer"/>
    <w:basedOn w:val="Normal"/>
    <w:link w:val="Sidefo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8E0"/>
  </w:style>
  <w:style w:type="character" w:styleId="Pladsholdertekst">
    <w:name w:val="Placeholder Text"/>
    <w:basedOn w:val="Standardskrifttypeiafsnit"/>
    <w:uiPriority w:val="99"/>
    <w:semiHidden/>
    <w:rsid w:val="002A4788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073F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BD2B03"/>
    <w:rsid w:val="00C15123"/>
    <w:rsid w:val="00C65C6E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E9B9-A4F4-4BD9-B988-376FFAD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HBR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Haraldur Steinþórsson</cp:lastModifiedBy>
  <cp:revision>14</cp:revision>
  <cp:lastPrinted>2017-01-12T13:13:00Z</cp:lastPrinted>
  <dcterms:created xsi:type="dcterms:W3CDTF">2019-03-04T12:47:00Z</dcterms:created>
  <dcterms:modified xsi:type="dcterms:W3CDTF">2019-10-17T10:16:00Z</dcterms:modified>
</cp:coreProperties>
</file>