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345C1C" w14:textId="4B4A4C12" w:rsidR="00E71F27" w:rsidRPr="009A1DB7" w:rsidRDefault="0000045D" w:rsidP="006E269D">
      <w:pPr>
        <w:pStyle w:val="Nmeringsskjalsmls"/>
      </w:pPr>
      <w:bookmarkStart w:id="0" w:name="_Toc303616026"/>
      <w:bookmarkStart w:id="1" w:name="_Toc303616027"/>
      <w:r w:rsidRPr="009A1DB7">
        <w:t>X</w:t>
      </w:r>
      <w:r w:rsidR="00E71F27" w:rsidRPr="009A1DB7">
        <w:t>. löggjafarþing 20</w:t>
      </w:r>
      <w:bookmarkEnd w:id="0"/>
      <w:r w:rsidRPr="009A1DB7">
        <w:t>2</w:t>
      </w:r>
      <w:r w:rsidR="000C12F2">
        <w:t>2</w:t>
      </w:r>
      <w:r w:rsidR="00E71F27" w:rsidRPr="009A1DB7">
        <w:t>–20</w:t>
      </w:r>
      <w:r w:rsidR="00301215" w:rsidRPr="009A1DB7">
        <w:t>2</w:t>
      </w:r>
      <w:r w:rsidR="000C12F2">
        <w:t>3</w:t>
      </w:r>
      <w:r w:rsidR="00E71F27" w:rsidRPr="009A1DB7">
        <w:t xml:space="preserve">. </w:t>
      </w:r>
    </w:p>
    <w:p w14:paraId="5BBE5CF6" w14:textId="77777777" w:rsidR="00E71F27" w:rsidRPr="009A1DB7" w:rsidRDefault="00E71F27" w:rsidP="006E269D">
      <w:pPr>
        <w:pStyle w:val="Nmeringsskjalsmls"/>
      </w:pPr>
      <w:r w:rsidRPr="009A1DB7">
        <w:t>Þingskjal x — x. mál</w:t>
      </w:r>
      <w:bookmarkEnd w:id="1"/>
      <w:r w:rsidRPr="009A1DB7">
        <w:t>.</w:t>
      </w:r>
    </w:p>
    <w:p w14:paraId="31012B73" w14:textId="77777777" w:rsidR="00E71F27" w:rsidRPr="009A1DB7" w:rsidRDefault="00E71F27" w:rsidP="006E269D">
      <w:pPr>
        <w:pStyle w:val="Nmeringsskjalsmls"/>
      </w:pPr>
      <w:r w:rsidRPr="009A1DB7">
        <w:t xml:space="preserve">Stjórnarfrumvarp. </w:t>
      </w:r>
    </w:p>
    <w:p w14:paraId="14018B15" w14:textId="77777777" w:rsidR="002B36A8" w:rsidRDefault="002B36A8" w:rsidP="002B36A8">
      <w:pPr>
        <w:rPr>
          <w:b/>
          <w:bCs/>
          <w:color w:val="0070C0"/>
          <w:sz w:val="28"/>
          <w:szCs w:val="28"/>
        </w:rPr>
      </w:pPr>
    </w:p>
    <w:p w14:paraId="14ECABB4" w14:textId="25C1F0EB" w:rsidR="00E71F27" w:rsidRPr="009A1DB7" w:rsidRDefault="35A41DDF" w:rsidP="006E269D">
      <w:pPr>
        <w:pStyle w:val="Fyrirsgn-skjalategund"/>
      </w:pPr>
      <w:r>
        <w:t>Frumvarp til laga</w:t>
      </w:r>
    </w:p>
    <w:p w14:paraId="5683D276" w14:textId="6CDCFEFA" w:rsidR="00E71F27" w:rsidRPr="009A1DB7" w:rsidRDefault="0000045D" w:rsidP="006E269D">
      <w:pPr>
        <w:pStyle w:val="Fyrirsgn-undirfyrirsgn"/>
      </w:pPr>
      <w:r w:rsidRPr="009A1DB7">
        <w:t>um breytingar á lögum um aðgerðir gegn peningaþvætti og fjármögnun hryðjuverka</w:t>
      </w:r>
    </w:p>
    <w:p w14:paraId="1A2DC9F1" w14:textId="77777777" w:rsidR="005D5AEE" w:rsidRPr="009A1DB7" w:rsidRDefault="005D5AEE" w:rsidP="006E269D"/>
    <w:p w14:paraId="69A8EA8E" w14:textId="2831F7D3" w:rsidR="00E71F27" w:rsidRPr="009A1DB7" w:rsidRDefault="00E71F27" w:rsidP="006E269D">
      <w:pPr>
        <w:pStyle w:val="Frrherra"/>
      </w:pPr>
      <w:r w:rsidRPr="009A1DB7">
        <w:t>Frá</w:t>
      </w:r>
      <w:r w:rsidR="000027BC" w:rsidRPr="009A1DB7">
        <w:t xml:space="preserve"> dómsmála</w:t>
      </w:r>
      <w:r w:rsidRPr="009A1DB7">
        <w:t xml:space="preserve">ráðherra. </w:t>
      </w:r>
    </w:p>
    <w:p w14:paraId="4AFE1969" w14:textId="0CB9B9E5" w:rsidR="00E71F27" w:rsidRPr="009A1DB7" w:rsidRDefault="2DEDE38E" w:rsidP="00A81D80">
      <w:r>
        <w:t xml:space="preserve"> </w:t>
      </w:r>
      <w:r w:rsidR="5ADD3410">
        <w:t xml:space="preserve"> </w:t>
      </w:r>
    </w:p>
    <w:p w14:paraId="1121B94C" w14:textId="77777777" w:rsidR="00C35574" w:rsidRPr="009A1DB7" w:rsidRDefault="00E71F27" w:rsidP="006E269D">
      <w:pPr>
        <w:pStyle w:val="Kaflanmer"/>
      </w:pPr>
      <w:r w:rsidRPr="009A1DB7">
        <w:t>I</w:t>
      </w:r>
      <w:r w:rsidR="00C35574" w:rsidRPr="009A1DB7">
        <w:t>. kafli</w:t>
      </w:r>
    </w:p>
    <w:p w14:paraId="2083D29E" w14:textId="498DDAEA" w:rsidR="007A52CF" w:rsidRPr="009A1DB7" w:rsidRDefault="001717F7" w:rsidP="006E269D">
      <w:pPr>
        <w:pStyle w:val="Kaflafyrirsgn"/>
      </w:pPr>
      <w:r w:rsidRPr="009A1DB7">
        <w:t>Breyting á lögum um aðgerðir gegn peningaþvætti og fjármögnun hryðjuverka, nr. 140/2018, með síðari breytingum</w:t>
      </w:r>
    </w:p>
    <w:p w14:paraId="66AD73D8" w14:textId="77777777" w:rsidR="007A52CF" w:rsidRPr="009A1DB7" w:rsidRDefault="007A52CF" w:rsidP="006E269D"/>
    <w:p w14:paraId="690CD9D9" w14:textId="77777777" w:rsidR="00C35574" w:rsidRPr="009A1DB7" w:rsidRDefault="00C35574" w:rsidP="006E269D">
      <w:pPr>
        <w:pStyle w:val="Greinarnmer"/>
      </w:pPr>
      <w:bookmarkStart w:id="2" w:name="_Hlk66615134"/>
      <w:r w:rsidRPr="009A1DB7">
        <w:t>1. gr.</w:t>
      </w:r>
    </w:p>
    <w:p w14:paraId="76DD7B03" w14:textId="2BCF988B" w:rsidR="005D0831" w:rsidRDefault="6D20B71F" w:rsidP="006E269D">
      <w:bookmarkStart w:id="3" w:name="_Hlk83818130"/>
      <w:r>
        <w:t>Eftirfarandi breyting</w:t>
      </w:r>
      <w:r w:rsidR="0FA2FB6D">
        <w:t>ar</w:t>
      </w:r>
      <w:r>
        <w:t xml:space="preserve"> ver</w:t>
      </w:r>
      <w:r w:rsidR="13E86C17">
        <w:t>ð</w:t>
      </w:r>
      <w:r w:rsidR="0FA2FB6D">
        <w:t>a</w:t>
      </w:r>
      <w:r w:rsidR="29F7A96B">
        <w:t xml:space="preserve"> á </w:t>
      </w:r>
      <w:r w:rsidR="29F7A96B" w:rsidRPr="00E272BA">
        <w:rPr>
          <w:rFonts w:eastAsia="Times New Roman"/>
        </w:rPr>
        <w:t>2. gr. laganna:</w:t>
      </w:r>
    </w:p>
    <w:p w14:paraId="26C7997D" w14:textId="1190B0FB" w:rsidR="00AA4A2A" w:rsidRPr="000C12F2" w:rsidRDefault="6F9D44DA" w:rsidP="00AA4A2A">
      <w:pPr>
        <w:pStyle w:val="Mlsgreinlista"/>
        <w:numPr>
          <w:ilvl w:val="0"/>
          <w:numId w:val="25"/>
        </w:numPr>
      </w:pPr>
      <w:r w:rsidRPr="00E272BA">
        <w:rPr>
          <w:rFonts w:eastAsia="Times New Roman"/>
        </w:rPr>
        <w:t xml:space="preserve">Í stað orðsins „gjaldeyrisskiptastöðvar“ í </w:t>
      </w:r>
      <w:proofErr w:type="spellStart"/>
      <w:r w:rsidRPr="00E272BA">
        <w:rPr>
          <w:rFonts w:eastAsia="Times New Roman"/>
        </w:rPr>
        <w:t>i-lið</w:t>
      </w:r>
      <w:proofErr w:type="spellEnd"/>
      <w:r w:rsidRPr="00E272BA">
        <w:rPr>
          <w:rFonts w:eastAsia="Times New Roman"/>
        </w:rPr>
        <w:t xml:space="preserve"> 1. mgr. 2. gr. laganna kemur „gjaldeyris</w:t>
      </w:r>
      <w:r w:rsidR="000129EE">
        <w:rPr>
          <w:rFonts w:eastAsia="Times New Roman"/>
        </w:rPr>
        <w:t>skipta</w:t>
      </w:r>
      <w:r w:rsidRPr="00E272BA">
        <w:rPr>
          <w:rFonts w:eastAsia="Times New Roman"/>
        </w:rPr>
        <w:t>þjónus</w:t>
      </w:r>
      <w:r w:rsidR="17AAF07E" w:rsidRPr="00E272BA">
        <w:rPr>
          <w:rFonts w:eastAsia="Times New Roman"/>
        </w:rPr>
        <w:t>ta</w:t>
      </w:r>
      <w:r w:rsidRPr="00E272BA">
        <w:rPr>
          <w:rFonts w:eastAsia="Times New Roman"/>
        </w:rPr>
        <w:t>.</w:t>
      </w:r>
      <w:r>
        <w:t>“</w:t>
      </w:r>
    </w:p>
    <w:p w14:paraId="537A814F" w14:textId="1F858300" w:rsidR="00110A6A" w:rsidRDefault="00AA4A2A" w:rsidP="00AA4A2A">
      <w:pPr>
        <w:pStyle w:val="Mlsgreinlista"/>
        <w:numPr>
          <w:ilvl w:val="0"/>
          <w:numId w:val="25"/>
        </w:numPr>
      </w:pPr>
      <w:proofErr w:type="spellStart"/>
      <w:r>
        <w:t>j</w:t>
      </w:r>
      <w:r w:rsidR="00110A6A" w:rsidRPr="00125EE0">
        <w:t>-liður</w:t>
      </w:r>
      <w:proofErr w:type="spellEnd"/>
      <w:r w:rsidR="00110A6A" w:rsidRPr="00125EE0">
        <w:t xml:space="preserve"> </w:t>
      </w:r>
      <w:r w:rsidR="005D0831">
        <w:t xml:space="preserve">1. mgr. 2. gr. laganna </w:t>
      </w:r>
      <w:r w:rsidR="00110A6A" w:rsidRPr="00125EE0">
        <w:t>orðast svo: Þjónustuveitendur sýndareigna, sbr. skilgreiningu í 3.</w:t>
      </w:r>
      <w:r w:rsidR="001A3851">
        <w:t xml:space="preserve"> </w:t>
      </w:r>
      <w:r w:rsidR="00110A6A" w:rsidRPr="00125EE0">
        <w:t>gr.</w:t>
      </w:r>
    </w:p>
    <w:p w14:paraId="5FFF52F1" w14:textId="0697AF97" w:rsidR="00E02B2B" w:rsidRPr="00125EE0" w:rsidRDefault="00E02B2B" w:rsidP="00AA4A2A">
      <w:pPr>
        <w:pStyle w:val="Mlsgreinlista"/>
        <w:numPr>
          <w:ilvl w:val="0"/>
          <w:numId w:val="25"/>
        </w:numPr>
      </w:pPr>
      <w:proofErr w:type="spellStart"/>
      <w:r>
        <w:t>k-liður</w:t>
      </w:r>
      <w:proofErr w:type="spellEnd"/>
      <w:r>
        <w:t xml:space="preserve"> 1. mgr. 2. gr. laganna fellur brott.</w:t>
      </w:r>
    </w:p>
    <w:bookmarkEnd w:id="3"/>
    <w:p w14:paraId="1D1B65F9" w14:textId="77777777" w:rsidR="00110A6A" w:rsidRPr="007814A6" w:rsidRDefault="00110A6A" w:rsidP="006E269D">
      <w:pPr>
        <w:ind w:left="1212" w:firstLine="0"/>
        <w:rPr>
          <w:u w:val="single"/>
        </w:rPr>
      </w:pPr>
    </w:p>
    <w:p w14:paraId="7972B389" w14:textId="405E7C3D" w:rsidR="00AF24CD" w:rsidRDefault="00AF24CD" w:rsidP="006E269D">
      <w:pPr>
        <w:jc w:val="center"/>
      </w:pPr>
      <w:r>
        <w:t>2</w:t>
      </w:r>
      <w:r w:rsidRPr="009A1DB7">
        <w:t>. gr.</w:t>
      </w:r>
    </w:p>
    <w:p w14:paraId="4A63D1DE" w14:textId="5BAB8C7F" w:rsidR="008746D5" w:rsidRDefault="008746D5" w:rsidP="006E269D">
      <w:r>
        <w:t>Eftirfarandi breytingar verða á 3. gr. laganna:</w:t>
      </w:r>
    </w:p>
    <w:p w14:paraId="61AC41E3" w14:textId="6A015E6B" w:rsidR="006B668B" w:rsidRPr="00E272BA" w:rsidRDefault="54E88900" w:rsidP="7ED798E0">
      <w:pPr>
        <w:pStyle w:val="Mlsgreinlista"/>
        <w:numPr>
          <w:ilvl w:val="0"/>
          <w:numId w:val="9"/>
        </w:numPr>
        <w:rPr>
          <w:rFonts w:eastAsia="Times New Roman"/>
        </w:rPr>
      </w:pPr>
      <w:r w:rsidRPr="00E272BA">
        <w:rPr>
          <w:rFonts w:eastAsia="Times New Roman"/>
        </w:rPr>
        <w:t xml:space="preserve">Í stað orðanna „dómarar við endurskoðunardómstóla“ í 6. </w:t>
      </w:r>
      <w:r w:rsidR="0FA2FB6D" w:rsidRPr="00E272BA">
        <w:rPr>
          <w:rFonts w:eastAsia="Times New Roman"/>
        </w:rPr>
        <w:t>t</w:t>
      </w:r>
      <w:r w:rsidRPr="00E272BA">
        <w:rPr>
          <w:rFonts w:eastAsia="Times New Roman"/>
        </w:rPr>
        <w:t>ölulið</w:t>
      </w:r>
      <w:r w:rsidR="0FA2FB6D" w:rsidRPr="00E272BA">
        <w:rPr>
          <w:rFonts w:eastAsia="Times New Roman"/>
        </w:rPr>
        <w:t>, staflið e,</w:t>
      </w:r>
      <w:r w:rsidRPr="00E272BA">
        <w:rPr>
          <w:rFonts w:eastAsia="Times New Roman"/>
        </w:rPr>
        <w:t xml:space="preserve"> kemur: ríkisendurskoðandi.</w:t>
      </w:r>
    </w:p>
    <w:p w14:paraId="7DEC6833" w14:textId="7E5A400B" w:rsidR="00257394" w:rsidRPr="00E272BA" w:rsidRDefault="7414D52F" w:rsidP="7ED798E0">
      <w:pPr>
        <w:pStyle w:val="Mlsgreinlista"/>
        <w:numPr>
          <w:ilvl w:val="0"/>
          <w:numId w:val="9"/>
        </w:numPr>
        <w:rPr>
          <w:rFonts w:eastAsia="Times New Roman"/>
        </w:rPr>
      </w:pPr>
      <w:r w:rsidRPr="00E272BA">
        <w:rPr>
          <w:rFonts w:eastAsia="Times New Roman"/>
        </w:rPr>
        <w:t>Í stað orðsins „gjaldeyrisskiptastöð“ í 8. tölulið kemur „gjaldeyrisskiptaþjónusta</w:t>
      </w:r>
      <w:r w:rsidR="0FA2FB6D" w:rsidRPr="00E272BA">
        <w:rPr>
          <w:rFonts w:eastAsia="Times New Roman"/>
        </w:rPr>
        <w:t>.</w:t>
      </w:r>
      <w:r w:rsidRPr="00E272BA">
        <w:rPr>
          <w:rFonts w:eastAsia="Times New Roman"/>
        </w:rPr>
        <w:t xml:space="preserve">“ </w:t>
      </w:r>
    </w:p>
    <w:p w14:paraId="6926E7D9" w14:textId="09BE3963" w:rsidR="00C23EF4" w:rsidRPr="00E272BA" w:rsidRDefault="77AFDF51" w:rsidP="7ED798E0">
      <w:pPr>
        <w:pStyle w:val="Mlsgreinlista"/>
        <w:numPr>
          <w:ilvl w:val="0"/>
          <w:numId w:val="9"/>
        </w:numPr>
        <w:rPr>
          <w:rFonts w:eastAsia="Times New Roman"/>
        </w:rPr>
      </w:pPr>
      <w:bookmarkStart w:id="4" w:name="_Hlk94784282"/>
      <w:r w:rsidRPr="00E272BA">
        <w:rPr>
          <w:rFonts w:eastAsia="Times New Roman"/>
        </w:rPr>
        <w:t xml:space="preserve">16. töluliður orðast svo: </w:t>
      </w:r>
    </w:p>
    <w:p w14:paraId="1126A22B" w14:textId="46DE0A1F" w:rsidR="009358BB" w:rsidRDefault="00125EE0">
      <w:pPr>
        <w:pStyle w:val="Mlsgreinlista"/>
        <w:ind w:left="644" w:firstLine="0"/>
      </w:pPr>
      <w:r w:rsidRPr="00125EE0">
        <w:t>16.</w:t>
      </w:r>
      <w:r>
        <w:rPr>
          <w:i/>
          <w:iCs/>
        </w:rPr>
        <w:t xml:space="preserve"> </w:t>
      </w:r>
      <w:r w:rsidR="008746D5" w:rsidRPr="007814A6">
        <w:rPr>
          <w:i/>
          <w:iCs/>
        </w:rPr>
        <w:t>Sýndareignir:</w:t>
      </w:r>
      <w:r w:rsidR="008746D5">
        <w:t xml:space="preserve"> Hvers konar verðmæti á stafrænu formi:</w:t>
      </w:r>
    </w:p>
    <w:p w14:paraId="15FBD78C" w14:textId="6757D423" w:rsidR="009358BB" w:rsidRDefault="005944C6" w:rsidP="006E269D">
      <w:pPr>
        <w:ind w:left="1988" w:hanging="282"/>
      </w:pPr>
      <w:r>
        <w:t>a.</w:t>
      </w:r>
      <w:r>
        <w:tab/>
      </w:r>
      <w:r w:rsidR="008746D5">
        <w:t xml:space="preserve">sem hægt er að </w:t>
      </w:r>
      <w:r w:rsidR="008746D5" w:rsidRPr="009A1DB7">
        <w:t>nota sem greiðslu eða fjárfestingu og</w:t>
      </w:r>
      <w:r w:rsidR="008746D5">
        <w:t xml:space="preserve"> </w:t>
      </w:r>
      <w:r w:rsidR="008746D5" w:rsidRPr="009A1DB7">
        <w:t xml:space="preserve">hægt er að </w:t>
      </w:r>
      <w:r w:rsidR="00E42E1A">
        <w:t>miðla</w:t>
      </w:r>
      <w:r w:rsidR="00C23EF4">
        <w:t>;</w:t>
      </w:r>
      <w:r w:rsidR="008746D5">
        <w:t xml:space="preserve"> og</w:t>
      </w:r>
    </w:p>
    <w:p w14:paraId="40FF0C17" w14:textId="4D950202" w:rsidR="005944C6" w:rsidRPr="000C12F2" w:rsidRDefault="005944C6" w:rsidP="006E269D">
      <w:pPr>
        <w:ind w:left="1706" w:firstLine="0"/>
      </w:pPr>
      <w:r>
        <w:t xml:space="preserve">b. </w:t>
      </w:r>
      <w:r w:rsidR="008127E8">
        <w:t xml:space="preserve"> </w:t>
      </w:r>
      <w:r w:rsidR="008746D5" w:rsidRPr="004E248C">
        <w:t>sem teljast e</w:t>
      </w:r>
      <w:r w:rsidR="00AA4A2A">
        <w:t>k</w:t>
      </w:r>
      <w:r w:rsidR="008746D5" w:rsidRPr="004E248C">
        <w:t xml:space="preserve">ki til rafeyris í skilningi laga um útgáfu </w:t>
      </w:r>
      <w:r w:rsidR="008746D5" w:rsidRPr="000C12F2">
        <w:t xml:space="preserve">og meðferð </w:t>
      </w:r>
    </w:p>
    <w:p w14:paraId="69C97164" w14:textId="1F709613" w:rsidR="008746D5" w:rsidRPr="000C12F2" w:rsidRDefault="008746D5" w:rsidP="006E269D">
      <w:pPr>
        <w:ind w:left="1988" w:firstLine="0"/>
      </w:pPr>
      <w:r w:rsidRPr="000C12F2">
        <w:t>rafeyris eða gjaldmiðils sem er gefinn út af seðlabanka eða öðrum stjórnvöldum</w:t>
      </w:r>
      <w:r w:rsidR="00C301EB" w:rsidRPr="000C12F2">
        <w:t>.</w:t>
      </w:r>
    </w:p>
    <w:bookmarkEnd w:id="4"/>
    <w:p w14:paraId="36344DAD" w14:textId="25AECDA1" w:rsidR="002077D4" w:rsidRPr="000C12F2" w:rsidRDefault="248333DF" w:rsidP="002B36A8">
      <w:pPr>
        <w:pStyle w:val="Mlsgreinlista"/>
        <w:numPr>
          <w:ilvl w:val="0"/>
          <w:numId w:val="9"/>
        </w:numPr>
      </w:pPr>
      <w:r w:rsidRPr="00E272BA">
        <w:rPr>
          <w:rFonts w:eastAsia="Times New Roman"/>
          <w:color w:val="242424"/>
          <w:shd w:val="clear" w:color="auto" w:fill="FFFFFF"/>
        </w:rPr>
        <w:t>Á eftir orðunum</w:t>
      </w:r>
      <w:r w:rsidRPr="000C12F2">
        <w:rPr>
          <w:color w:val="242424"/>
          <w:shd w:val="clear" w:color="auto" w:fill="FFFFFF"/>
        </w:rPr>
        <w:t xml:space="preserve"> „</w:t>
      </w:r>
      <w:r w:rsidR="259A8ABF" w:rsidRPr="000C12F2">
        <w:rPr>
          <w:color w:val="242424"/>
          <w:shd w:val="clear" w:color="auto" w:fill="FFFFFF"/>
        </w:rPr>
        <w:t>Til gildra persónuskilríkja teljast</w:t>
      </w:r>
      <w:r w:rsidRPr="000C12F2">
        <w:rPr>
          <w:color w:val="242424"/>
          <w:shd w:val="clear" w:color="auto" w:fill="FFFFFF"/>
        </w:rPr>
        <w:t xml:space="preserve">“ í </w:t>
      </w:r>
      <w:r w:rsidRPr="00E272BA">
        <w:rPr>
          <w:rFonts w:eastAsia="Times New Roman"/>
          <w:color w:val="242424"/>
          <w:shd w:val="clear" w:color="auto" w:fill="FFFFFF"/>
        </w:rPr>
        <w:t>18. tölulið</w:t>
      </w:r>
      <w:r w:rsidRPr="000C12F2">
        <w:rPr>
          <w:color w:val="242424"/>
          <w:shd w:val="clear" w:color="auto" w:fill="FFFFFF"/>
        </w:rPr>
        <w:t xml:space="preserve"> </w:t>
      </w:r>
      <w:r w:rsidRPr="00E272BA">
        <w:rPr>
          <w:rFonts w:eastAsia="Times New Roman"/>
          <w:color w:val="242424"/>
          <w:shd w:val="clear" w:color="auto" w:fill="FFFFFF"/>
        </w:rPr>
        <w:t>kemur</w:t>
      </w:r>
      <w:r w:rsidRPr="000C12F2">
        <w:rPr>
          <w:color w:val="242424"/>
          <w:shd w:val="clear" w:color="auto" w:fill="FFFFFF"/>
        </w:rPr>
        <w:t>:</w:t>
      </w:r>
      <w:r w:rsidR="259A8ABF" w:rsidRPr="000C12F2">
        <w:rPr>
          <w:color w:val="242424"/>
          <w:shd w:val="clear" w:color="auto" w:fill="FFFFFF"/>
        </w:rPr>
        <w:t xml:space="preserve"> meðal annars</w:t>
      </w:r>
      <w:r w:rsidR="29F7A96B" w:rsidRPr="000C12F2">
        <w:rPr>
          <w:color w:val="242424"/>
          <w:shd w:val="clear" w:color="auto" w:fill="FFFFFF"/>
        </w:rPr>
        <w:t xml:space="preserve">. </w:t>
      </w:r>
    </w:p>
    <w:p w14:paraId="39B0C017" w14:textId="3F7FAB29" w:rsidR="00C23EF4" w:rsidRDefault="00C23EF4" w:rsidP="002B36A8">
      <w:pPr>
        <w:pStyle w:val="Mlsgreinlista"/>
        <w:numPr>
          <w:ilvl w:val="0"/>
          <w:numId w:val="9"/>
        </w:numPr>
      </w:pPr>
      <w:r w:rsidRPr="003D2348">
        <w:t xml:space="preserve">Við 3. gr. laganna bætast </w:t>
      </w:r>
      <w:r w:rsidR="00E66A62">
        <w:t>7</w:t>
      </w:r>
      <w:r w:rsidR="00415FF2" w:rsidRPr="003D2348">
        <w:t xml:space="preserve"> </w:t>
      </w:r>
      <w:r w:rsidRPr="003D2348">
        <w:t xml:space="preserve">nýir </w:t>
      </w:r>
      <w:r w:rsidR="007814A6" w:rsidRPr="003D2348">
        <w:t>töluliðir</w:t>
      </w:r>
      <w:r w:rsidRPr="003D2348">
        <w:t xml:space="preserve">, </w:t>
      </w:r>
      <w:r w:rsidR="00A71574">
        <w:t>21., 22., 23., 24., 25., 26.</w:t>
      </w:r>
      <w:r w:rsidR="00E66A62">
        <w:t xml:space="preserve"> og</w:t>
      </w:r>
      <w:r w:rsidR="00A71574">
        <w:t xml:space="preserve"> 27. </w:t>
      </w:r>
      <w:r w:rsidR="007814A6" w:rsidRPr="003D2348">
        <w:t>tölulið</w:t>
      </w:r>
      <w:r w:rsidR="008B31BD" w:rsidRPr="003D2348">
        <w:t>u</w:t>
      </w:r>
      <w:r w:rsidR="007814A6" w:rsidRPr="003D2348">
        <w:t>r</w:t>
      </w:r>
      <w:r w:rsidRPr="003D2348">
        <w:t xml:space="preserve">, svohljóðandi: </w:t>
      </w:r>
    </w:p>
    <w:p w14:paraId="72D92940" w14:textId="2B8DE4D8" w:rsidR="00AA40F8" w:rsidRPr="000C12F2" w:rsidRDefault="3EB7585E" w:rsidP="003D2348">
      <w:pPr>
        <w:ind w:left="568" w:firstLine="0"/>
      </w:pPr>
      <w:r>
        <w:t>21.</w:t>
      </w:r>
      <w:r w:rsidRPr="47A4417F">
        <w:rPr>
          <w:i/>
          <w:iCs/>
        </w:rPr>
        <w:t xml:space="preserve"> </w:t>
      </w:r>
      <w:r w:rsidR="4A0DA14F" w:rsidRPr="00E272BA">
        <w:rPr>
          <w:rFonts w:eastAsia="Times New Roman"/>
          <w:i/>
          <w:iCs/>
        </w:rPr>
        <w:t>Áhættuþættir:</w:t>
      </w:r>
      <w:r w:rsidR="4A0DA14F">
        <w:t xml:space="preserve"> </w:t>
      </w:r>
      <w:r w:rsidR="560A7EA4">
        <w:t>Breyt</w:t>
      </w:r>
      <w:r w:rsidR="000129EE">
        <w:t>ilegir þættir</w:t>
      </w:r>
      <w:r w:rsidR="4A0DA14F">
        <w:t xml:space="preserve"> sem annað hvort ein</w:t>
      </w:r>
      <w:r w:rsidR="000129EE">
        <w:t>i</w:t>
      </w:r>
      <w:r w:rsidR="4A0DA14F">
        <w:t xml:space="preserve">r sér eða samanlagt, geta aukið eða </w:t>
      </w:r>
      <w:r>
        <w:t xml:space="preserve">dregið úr </w:t>
      </w:r>
      <w:r w:rsidR="4A0DA14F">
        <w:t xml:space="preserve">hættu á peningaþvætti </w:t>
      </w:r>
      <w:r w:rsidR="251AE64A">
        <w:t xml:space="preserve">eða </w:t>
      </w:r>
      <w:r w:rsidR="4A0DA14F">
        <w:t>fjármögnun hryðjuverka</w:t>
      </w:r>
      <w:r w:rsidR="5228835B">
        <w:t>.</w:t>
      </w:r>
      <w:r w:rsidR="4A0DA14F">
        <w:t xml:space="preserve">  </w:t>
      </w:r>
    </w:p>
    <w:p w14:paraId="316939AB" w14:textId="09AA8797" w:rsidR="00B43EFE" w:rsidRPr="000C12F2" w:rsidRDefault="2B8AFD5B" w:rsidP="003D2348">
      <w:pPr>
        <w:ind w:left="568" w:firstLine="0"/>
      </w:pPr>
      <w:r>
        <w:t>22.</w:t>
      </w:r>
      <w:r w:rsidRPr="7ED798E0">
        <w:rPr>
          <w:i/>
          <w:iCs/>
        </w:rPr>
        <w:t xml:space="preserve"> </w:t>
      </w:r>
      <w:r w:rsidR="44DF7F75" w:rsidRPr="7ED798E0">
        <w:rPr>
          <w:i/>
          <w:iCs/>
        </w:rPr>
        <w:t>Eðlislæg áhætta:</w:t>
      </w:r>
      <w:r w:rsidR="44DF7F75">
        <w:t xml:space="preserve"> </w:t>
      </w:r>
      <w:r w:rsidR="44DF7F75" w:rsidRPr="00E272BA">
        <w:rPr>
          <w:rFonts w:eastAsia="Times New Roman"/>
        </w:rPr>
        <w:t>Áhætta</w:t>
      </w:r>
      <w:r w:rsidR="44DF7F75">
        <w:t xml:space="preserve"> </w:t>
      </w:r>
      <w:r w:rsidR="44DF7F75" w:rsidRPr="00E272BA">
        <w:rPr>
          <w:rFonts w:eastAsia="Times New Roman"/>
        </w:rPr>
        <w:t>áður en tekið er tillit til stýringa og annarra aðferða til að draga úr eða stýra áhættu</w:t>
      </w:r>
      <w:r w:rsidR="1100E16C" w:rsidRPr="00E272BA">
        <w:rPr>
          <w:rFonts w:eastAsia="Times New Roman"/>
        </w:rPr>
        <w:t>.</w:t>
      </w:r>
    </w:p>
    <w:p w14:paraId="60B35F6E" w14:textId="05E7BBB6" w:rsidR="00B43EFE" w:rsidRDefault="3B7E4BC3" w:rsidP="003D2348">
      <w:pPr>
        <w:ind w:left="568" w:firstLine="0"/>
      </w:pPr>
      <w:r>
        <w:t>23.</w:t>
      </w:r>
      <w:r w:rsidRPr="47A4417F">
        <w:rPr>
          <w:i/>
          <w:iCs/>
        </w:rPr>
        <w:t xml:space="preserve"> </w:t>
      </w:r>
      <w:r w:rsidR="367DEEB2" w:rsidRPr="47A4417F">
        <w:rPr>
          <w:i/>
          <w:iCs/>
        </w:rPr>
        <w:t>Eftirstæð áhætta:</w:t>
      </w:r>
      <w:r w:rsidR="367DEEB2">
        <w:t xml:space="preserve"> </w:t>
      </w:r>
      <w:r w:rsidR="367DEEB2" w:rsidRPr="00E272BA">
        <w:rPr>
          <w:rFonts w:eastAsia="Times New Roman"/>
        </w:rPr>
        <w:t>Áhætta sem er til staðar eftir að tekið hefur verið tillit til stýringa og annarra aðferða til að draga úr eða stýra áhættu</w:t>
      </w:r>
      <w:r w:rsidR="265FB05B" w:rsidRPr="00E272BA">
        <w:rPr>
          <w:rFonts w:eastAsia="Times New Roman"/>
        </w:rPr>
        <w:t>.</w:t>
      </w:r>
    </w:p>
    <w:p w14:paraId="5FEF5CEA" w14:textId="4F76BAC0" w:rsidR="00CB55F2" w:rsidRDefault="00A71574" w:rsidP="003D2348">
      <w:pPr>
        <w:ind w:left="568" w:firstLine="0"/>
      </w:pPr>
      <w:r w:rsidRPr="00942546">
        <w:lastRenderedPageBreak/>
        <w:t>2</w:t>
      </w:r>
      <w:r w:rsidR="00E66A62">
        <w:t>4</w:t>
      </w:r>
      <w:r>
        <w:rPr>
          <w:i/>
          <w:iCs/>
        </w:rPr>
        <w:t>.</w:t>
      </w:r>
      <w:r w:rsidR="00415FF2">
        <w:rPr>
          <w:i/>
          <w:iCs/>
        </w:rPr>
        <w:t xml:space="preserve"> </w:t>
      </w:r>
      <w:r w:rsidR="004B2BA6">
        <w:rPr>
          <w:i/>
          <w:iCs/>
        </w:rPr>
        <w:t>S</w:t>
      </w:r>
      <w:r w:rsidR="00B43EFE" w:rsidRPr="003D2348">
        <w:rPr>
          <w:i/>
          <w:iCs/>
        </w:rPr>
        <w:t>amningssamband:</w:t>
      </w:r>
      <w:r w:rsidR="00706C62">
        <w:rPr>
          <w:i/>
          <w:iCs/>
        </w:rPr>
        <w:t xml:space="preserve"> </w:t>
      </w:r>
      <w:r w:rsidR="00CB55F2">
        <w:t xml:space="preserve">viðskiptasamband milli tilkynningarskylds aðila og viðskiptamanns sem: </w:t>
      </w:r>
    </w:p>
    <w:p w14:paraId="7180C9A7" w14:textId="77777777" w:rsidR="00CB55F2" w:rsidRDefault="00CB55F2" w:rsidP="00CB55F2">
      <w:pPr>
        <w:pStyle w:val="Mlsgreinlista"/>
        <w:numPr>
          <w:ilvl w:val="0"/>
          <w:numId w:val="21"/>
        </w:numPr>
      </w:pPr>
      <w:r>
        <w:t>er tilkomið vegna viðskipta viðskiptamanns hjá tilkynningarskylda aðilanum og</w:t>
      </w:r>
    </w:p>
    <w:p w14:paraId="7CF9285B" w14:textId="14A9D480" w:rsidR="00AA40F8" w:rsidRDefault="7CD5B5AB" w:rsidP="47A4417F">
      <w:pPr>
        <w:pStyle w:val="Mlsgreinlista"/>
        <w:numPr>
          <w:ilvl w:val="0"/>
          <w:numId w:val="21"/>
        </w:numPr>
        <w:rPr>
          <w:rFonts w:eastAsia="Times New Roman"/>
          <w:szCs w:val="21"/>
        </w:rPr>
      </w:pPr>
      <w:r w:rsidRPr="00E66A62">
        <w:rPr>
          <w:rFonts w:eastAsia="Times New Roman"/>
        </w:rPr>
        <w:t>gert er ráð fyrir</w:t>
      </w:r>
      <w:r w:rsidR="64484106" w:rsidRPr="00E66A62">
        <w:rPr>
          <w:rFonts w:eastAsia="Times New Roman"/>
        </w:rPr>
        <w:t xml:space="preserve">, á þeim tíma sem stofnað er til </w:t>
      </w:r>
      <w:r w:rsidR="325F6DE3" w:rsidRPr="00E66A62">
        <w:rPr>
          <w:rFonts w:eastAsia="Times New Roman"/>
        </w:rPr>
        <w:t>viðskiptasambandsins</w:t>
      </w:r>
      <w:r w:rsidR="64484106" w:rsidRPr="00E66A62">
        <w:rPr>
          <w:rFonts w:eastAsia="Times New Roman"/>
        </w:rPr>
        <w:t xml:space="preserve">, </w:t>
      </w:r>
      <w:r w:rsidRPr="00E66A62">
        <w:rPr>
          <w:rFonts w:eastAsia="Times New Roman"/>
        </w:rPr>
        <w:t>að</w:t>
      </w:r>
      <w:r w:rsidR="367DEEB2" w:rsidRPr="00E66A62">
        <w:rPr>
          <w:rFonts w:eastAsia="Times New Roman"/>
        </w:rPr>
        <w:t xml:space="preserve"> </w:t>
      </w:r>
      <w:r w:rsidRPr="00E66A62">
        <w:rPr>
          <w:rFonts w:eastAsia="Times New Roman"/>
        </w:rPr>
        <w:t xml:space="preserve">það vari um </w:t>
      </w:r>
      <w:r w:rsidR="39426050" w:rsidRPr="00E66A62">
        <w:rPr>
          <w:rFonts w:eastAsia="Times New Roman"/>
        </w:rPr>
        <w:t>ákveðinn</w:t>
      </w:r>
      <w:r w:rsidRPr="00E66A62">
        <w:rPr>
          <w:rFonts w:eastAsia="Times New Roman"/>
        </w:rPr>
        <w:t xml:space="preserve"> tíma</w:t>
      </w:r>
      <w:r w:rsidR="367DEEB2" w:rsidRPr="00E66A62">
        <w:rPr>
          <w:rFonts w:eastAsia="Times New Roman"/>
        </w:rPr>
        <w:t>.</w:t>
      </w:r>
      <w:r w:rsidR="367DEEB2">
        <w:t xml:space="preserve"> </w:t>
      </w:r>
    </w:p>
    <w:p w14:paraId="043A5790" w14:textId="18E7290D" w:rsidR="007814A6" w:rsidRPr="00803C4A" w:rsidRDefault="2B8AFD5B" w:rsidP="7ED798E0">
      <w:pPr>
        <w:ind w:left="284"/>
        <w:rPr>
          <w:i/>
          <w:iCs/>
        </w:rPr>
      </w:pPr>
      <w:bookmarkStart w:id="5" w:name="_Hlk83815267"/>
      <w:r>
        <w:t>2</w:t>
      </w:r>
      <w:r w:rsidR="00E66A62">
        <w:t>5</w:t>
      </w:r>
      <w:bookmarkStart w:id="6" w:name="_Hlk94785385"/>
      <w:r w:rsidR="507E3527">
        <w:t>.</w:t>
      </w:r>
      <w:r w:rsidR="507E3527" w:rsidRPr="00E66A62">
        <w:rPr>
          <w:rFonts w:eastAsia="Times New Roman"/>
          <w:i/>
          <w:iCs/>
        </w:rPr>
        <w:t xml:space="preserve"> </w:t>
      </w:r>
      <w:r w:rsidR="07386EFF" w:rsidRPr="00E66A62">
        <w:rPr>
          <w:rFonts w:eastAsia="Times New Roman"/>
          <w:i/>
          <w:iCs/>
        </w:rPr>
        <w:t>Þjónustuveitandi sýndareigna:</w:t>
      </w:r>
      <w:r w:rsidR="07386EFF" w:rsidRPr="7ED798E0">
        <w:rPr>
          <w:i/>
          <w:iCs/>
        </w:rPr>
        <w:t xml:space="preserve"> </w:t>
      </w:r>
      <w:bookmarkEnd w:id="5"/>
      <w:r w:rsidR="07386EFF">
        <w:t>Einstaklingur eða lögaðili sem:</w:t>
      </w:r>
    </w:p>
    <w:p w14:paraId="5B41782B" w14:textId="3003CC3B" w:rsidR="00257394" w:rsidRPr="008127E8" w:rsidRDefault="00257394" w:rsidP="00BD7326">
      <w:pPr>
        <w:pStyle w:val="Mlsgreinlista"/>
        <w:numPr>
          <w:ilvl w:val="0"/>
          <w:numId w:val="7"/>
        </w:numPr>
        <w:ind w:left="1267"/>
      </w:pPr>
      <w:r>
        <w:t>skiptir</w:t>
      </w:r>
      <w:r w:rsidRPr="008127E8">
        <w:t xml:space="preserve"> sýndareignum yfir í gjaldmiðil eða </w:t>
      </w:r>
      <w:proofErr w:type="spellStart"/>
      <w:r w:rsidRPr="008127E8">
        <w:t>rafeyri</w:t>
      </w:r>
      <w:proofErr w:type="spellEnd"/>
      <w:r w:rsidRPr="008127E8">
        <w:t xml:space="preserve">; </w:t>
      </w:r>
    </w:p>
    <w:p w14:paraId="79ABE388" w14:textId="1CBECEA0" w:rsidR="00257394" w:rsidRPr="008127E8" w:rsidRDefault="00257394" w:rsidP="00BD7326">
      <w:pPr>
        <w:pStyle w:val="Mlsgreinlista"/>
        <w:numPr>
          <w:ilvl w:val="0"/>
          <w:numId w:val="7"/>
        </w:numPr>
        <w:ind w:left="1267"/>
      </w:pPr>
      <w:r>
        <w:t>skiptir</w:t>
      </w:r>
      <w:r w:rsidRPr="008127E8">
        <w:t xml:space="preserve"> gjaldmiðli eða </w:t>
      </w:r>
      <w:proofErr w:type="spellStart"/>
      <w:r w:rsidRPr="008127E8">
        <w:t>rafeyri</w:t>
      </w:r>
      <w:proofErr w:type="spellEnd"/>
      <w:r w:rsidRPr="008127E8">
        <w:t xml:space="preserve"> yfir í sýndareignir; </w:t>
      </w:r>
    </w:p>
    <w:p w14:paraId="5244D769" w14:textId="5F0985C6" w:rsidR="00257394" w:rsidRPr="008127E8" w:rsidRDefault="00257394" w:rsidP="00BD7326">
      <w:pPr>
        <w:pStyle w:val="Mlsgreinlista"/>
        <w:numPr>
          <w:ilvl w:val="0"/>
          <w:numId w:val="7"/>
        </w:numPr>
        <w:ind w:left="1267"/>
      </w:pPr>
      <w:r>
        <w:t>skiptir</w:t>
      </w:r>
      <w:r w:rsidRPr="008127E8">
        <w:t xml:space="preserve"> sýndareignum yfir í aðrar sýndareignir</w:t>
      </w:r>
      <w:r w:rsidR="002C49E4">
        <w:t>;</w:t>
      </w:r>
    </w:p>
    <w:p w14:paraId="08949367" w14:textId="2A55919E" w:rsidR="007814A6" w:rsidRPr="008127E8" w:rsidRDefault="00125EE0" w:rsidP="00BD7326">
      <w:pPr>
        <w:pStyle w:val="Mlsgreinlista"/>
        <w:numPr>
          <w:ilvl w:val="0"/>
          <w:numId w:val="7"/>
        </w:numPr>
        <w:ind w:left="1267"/>
      </w:pPr>
      <w:r w:rsidRPr="008127E8">
        <w:t>v</w:t>
      </w:r>
      <w:r w:rsidR="007814A6" w:rsidRPr="008127E8">
        <w:t xml:space="preserve">arðveitir, framselur eða millifærir sýndareignir, fyrir hönd annars einstaklings eða lögaðila; </w:t>
      </w:r>
    </w:p>
    <w:p w14:paraId="23BB63AD" w14:textId="2E7CEA0D" w:rsidR="00992D61" w:rsidRDefault="00125EE0" w:rsidP="00BD7326">
      <w:pPr>
        <w:pStyle w:val="Mlsgreinlista"/>
        <w:numPr>
          <w:ilvl w:val="0"/>
          <w:numId w:val="7"/>
        </w:numPr>
        <w:ind w:left="1267"/>
      </w:pPr>
      <w:r w:rsidRPr="008127E8">
        <w:t>v</w:t>
      </w:r>
      <w:r w:rsidR="007814A6" w:rsidRPr="008127E8">
        <w:t>eitir þjónustu í tengslum við útgáfu, útboð eða sölu sýndareigna</w:t>
      </w:r>
      <w:r w:rsidR="00992D61">
        <w:t>; eða</w:t>
      </w:r>
    </w:p>
    <w:p w14:paraId="65F2FF6F" w14:textId="2B2E4784" w:rsidR="007814A6" w:rsidRDefault="00992D61" w:rsidP="00BD7326">
      <w:pPr>
        <w:pStyle w:val="Mlsgreinlista"/>
        <w:numPr>
          <w:ilvl w:val="0"/>
          <w:numId w:val="7"/>
        </w:numPr>
        <w:ind w:left="1267"/>
      </w:pPr>
      <w:r>
        <w:t>er þjónustuveitandi stafrænna veskja sbr. skilgreiningu í 20</w:t>
      </w:r>
      <w:r w:rsidR="00876710">
        <w:t>.</w:t>
      </w:r>
      <w:r>
        <w:t xml:space="preserve"> </w:t>
      </w:r>
      <w:proofErr w:type="spellStart"/>
      <w:r>
        <w:t>tl</w:t>
      </w:r>
      <w:proofErr w:type="spellEnd"/>
      <w:r>
        <w:t>. 3. gr.</w:t>
      </w:r>
      <w:r w:rsidR="002C49E4">
        <w:t>; eða</w:t>
      </w:r>
    </w:p>
    <w:p w14:paraId="4333EB71" w14:textId="53037C47" w:rsidR="002C49E4" w:rsidRPr="008127E8" w:rsidRDefault="002C49E4" w:rsidP="00BD7326">
      <w:pPr>
        <w:pStyle w:val="Mlsgreinlista"/>
        <w:numPr>
          <w:ilvl w:val="0"/>
          <w:numId w:val="7"/>
        </w:numPr>
        <w:ind w:left="1267"/>
      </w:pPr>
      <w:r>
        <w:t>fer með öðrum hætti með umráð yfir sýndareignum í atvinnuskyni.</w:t>
      </w:r>
    </w:p>
    <w:bookmarkEnd w:id="6"/>
    <w:p w14:paraId="263FCC71" w14:textId="2CCA83C8" w:rsidR="0016197D" w:rsidRDefault="00A71574" w:rsidP="002A665E">
      <w:pPr>
        <w:ind w:left="568" w:firstLine="0"/>
      </w:pPr>
      <w:r>
        <w:t>2</w:t>
      </w:r>
      <w:r w:rsidR="00E66A62">
        <w:t>6</w:t>
      </w:r>
      <w:r w:rsidR="00415FF2" w:rsidRPr="008127E8">
        <w:t>.</w:t>
      </w:r>
      <w:r w:rsidR="00415FF2" w:rsidRPr="006F27E4">
        <w:rPr>
          <w:i/>
          <w:iCs/>
        </w:rPr>
        <w:t xml:space="preserve"> </w:t>
      </w:r>
      <w:r w:rsidR="00415FF2">
        <w:rPr>
          <w:i/>
          <w:iCs/>
        </w:rPr>
        <w:t>Rafeyrir</w:t>
      </w:r>
      <w:r w:rsidR="00415FF2" w:rsidRPr="006F27E4">
        <w:rPr>
          <w:i/>
          <w:iCs/>
        </w:rPr>
        <w:t>:</w:t>
      </w:r>
      <w:r w:rsidR="00415FF2">
        <w:rPr>
          <w:i/>
          <w:iCs/>
        </w:rPr>
        <w:t xml:space="preserve"> </w:t>
      </w:r>
      <w:r w:rsidR="001A3851">
        <w:t>R</w:t>
      </w:r>
      <w:r w:rsidR="00415FF2">
        <w:t xml:space="preserve">afeyrir </w:t>
      </w:r>
      <w:r w:rsidR="002A665E">
        <w:t xml:space="preserve">sem fellur undir gildissvið laga </w:t>
      </w:r>
      <w:r w:rsidR="00917D71">
        <w:t>um útgáfu</w:t>
      </w:r>
      <w:r w:rsidR="00415FF2">
        <w:t xml:space="preserve"> og meðferð rafeyris.</w:t>
      </w:r>
    </w:p>
    <w:p w14:paraId="5EC23872" w14:textId="702E6080" w:rsidR="008E399A" w:rsidRPr="00415FF2" w:rsidRDefault="00A71574" w:rsidP="00706C62">
      <w:pPr>
        <w:ind w:left="284"/>
      </w:pPr>
      <w:r>
        <w:t>2</w:t>
      </w:r>
      <w:r w:rsidR="00E66A62">
        <w:t>7</w:t>
      </w:r>
      <w:r w:rsidR="008E399A">
        <w:t xml:space="preserve">. </w:t>
      </w:r>
      <w:r w:rsidR="008E399A" w:rsidRPr="00942546">
        <w:rPr>
          <w:i/>
          <w:iCs/>
        </w:rPr>
        <w:t>Samstæða</w:t>
      </w:r>
      <w:r w:rsidR="008E399A">
        <w:t>: Samstæða eins og hún er skilgreind í lögum um ársreikninga.</w:t>
      </w:r>
    </w:p>
    <w:p w14:paraId="298E552A" w14:textId="77777777" w:rsidR="00415FF2" w:rsidRDefault="00415FF2" w:rsidP="006E269D">
      <w:pPr>
        <w:ind w:firstLine="0"/>
      </w:pPr>
    </w:p>
    <w:p w14:paraId="717D8F6C" w14:textId="54034951" w:rsidR="004D6E70" w:rsidRPr="00A32418" w:rsidRDefault="004D6E70" w:rsidP="006E269D">
      <w:pPr>
        <w:jc w:val="center"/>
      </w:pPr>
      <w:bookmarkStart w:id="7" w:name="_Hlk90363789"/>
      <w:r w:rsidRPr="00A32418">
        <w:t>3. gr.</w:t>
      </w:r>
    </w:p>
    <w:p w14:paraId="65201FE8" w14:textId="305FAF8F" w:rsidR="007E2351" w:rsidRDefault="0C7319F5" w:rsidP="006E269D">
      <w:pPr>
        <w:ind w:firstLine="0"/>
        <w:rPr>
          <w:rFonts w:eastAsia="Times New Roman"/>
        </w:rPr>
      </w:pPr>
      <w:r w:rsidRPr="000129EE">
        <w:rPr>
          <w:rFonts w:eastAsia="Times New Roman"/>
        </w:rPr>
        <w:t xml:space="preserve">Í stað 5. gr. laganna koma </w:t>
      </w:r>
      <w:r w:rsidR="2842EE46" w:rsidRPr="000129EE">
        <w:rPr>
          <w:rFonts w:eastAsia="Times New Roman"/>
        </w:rPr>
        <w:t>tvær</w:t>
      </w:r>
      <w:r w:rsidR="439004DD" w:rsidRPr="000129EE">
        <w:rPr>
          <w:rFonts w:eastAsia="Times New Roman"/>
        </w:rPr>
        <w:t xml:space="preserve"> </w:t>
      </w:r>
      <w:r w:rsidRPr="000129EE">
        <w:rPr>
          <w:rFonts w:eastAsia="Times New Roman"/>
        </w:rPr>
        <w:t xml:space="preserve">nýjar greinar, 5. </w:t>
      </w:r>
      <w:r w:rsidR="2842EE46" w:rsidRPr="000129EE">
        <w:rPr>
          <w:rFonts w:eastAsia="Times New Roman"/>
        </w:rPr>
        <w:t>g</w:t>
      </w:r>
      <w:r w:rsidRPr="000129EE">
        <w:rPr>
          <w:rFonts w:eastAsia="Times New Roman"/>
        </w:rPr>
        <w:t>r</w:t>
      </w:r>
      <w:r w:rsidR="2842EE46" w:rsidRPr="000129EE">
        <w:rPr>
          <w:rFonts w:eastAsia="Times New Roman"/>
        </w:rPr>
        <w:t>. og</w:t>
      </w:r>
      <w:r w:rsidRPr="000129EE">
        <w:rPr>
          <w:rFonts w:eastAsia="Times New Roman"/>
        </w:rPr>
        <w:t xml:space="preserve"> 5. gr. a., ásamt fyrirsögn, svohljóðandi</w:t>
      </w:r>
      <w:r w:rsidR="4EB2DDA5" w:rsidRPr="000129EE">
        <w:rPr>
          <w:rFonts w:eastAsia="Times New Roman"/>
        </w:rPr>
        <w:t>:</w:t>
      </w:r>
    </w:p>
    <w:p w14:paraId="61DEDDB5" w14:textId="77777777" w:rsidR="00896869" w:rsidRPr="00896869" w:rsidRDefault="00896869" w:rsidP="006E269D">
      <w:pPr>
        <w:ind w:firstLine="0"/>
        <w:rPr>
          <w:rFonts w:eastAsia="Times New Roman"/>
        </w:rPr>
      </w:pPr>
    </w:p>
    <w:p w14:paraId="34901BA7" w14:textId="6CBDF05C" w:rsidR="00423A71" w:rsidRPr="00896869" w:rsidRDefault="007E2351" w:rsidP="00896869">
      <w:pPr>
        <w:ind w:firstLine="0"/>
        <w:jc w:val="center"/>
        <w:rPr>
          <w:szCs w:val="21"/>
        </w:rPr>
      </w:pPr>
      <w:r w:rsidRPr="00896869">
        <w:rPr>
          <w:szCs w:val="21"/>
        </w:rPr>
        <w:t>5. gr.</w:t>
      </w:r>
    </w:p>
    <w:p w14:paraId="543AED2A" w14:textId="77777777" w:rsidR="00D71380" w:rsidRPr="00853ED6" w:rsidRDefault="00D71380" w:rsidP="00D71380">
      <w:pPr>
        <w:jc w:val="center"/>
        <w:rPr>
          <w:i/>
          <w:iCs/>
          <w:color w:val="242424"/>
          <w:szCs w:val="21"/>
          <w:shd w:val="clear" w:color="auto" w:fill="FFFFFF"/>
        </w:rPr>
      </w:pPr>
      <w:bookmarkStart w:id="8" w:name="_Hlk95810196"/>
      <w:r w:rsidRPr="00853ED6">
        <w:rPr>
          <w:i/>
          <w:iCs/>
          <w:color w:val="242424"/>
          <w:szCs w:val="21"/>
          <w:shd w:val="clear" w:color="auto" w:fill="FFFFFF"/>
        </w:rPr>
        <w:t>Áhættumat tilkynningarskyldra aðila.</w:t>
      </w:r>
    </w:p>
    <w:p w14:paraId="40D0FEF5" w14:textId="3DEC6403" w:rsidR="00D71380" w:rsidRDefault="00D71380" w:rsidP="00896869">
      <w:pPr>
        <w:rPr>
          <w:color w:val="242424"/>
          <w:szCs w:val="21"/>
          <w:shd w:val="clear" w:color="auto" w:fill="FFFFFF"/>
        </w:rPr>
      </w:pPr>
      <w:r w:rsidRPr="00853ED6">
        <w:rPr>
          <w:color w:val="242424"/>
          <w:szCs w:val="21"/>
          <w:shd w:val="clear" w:color="auto" w:fill="FFFFFF"/>
        </w:rPr>
        <w:t>Tilkynningarskyldir aðilar skulu gera áhættumat á starfsemi sinni</w:t>
      </w:r>
      <w:r>
        <w:rPr>
          <w:color w:val="242424"/>
          <w:szCs w:val="21"/>
          <w:shd w:val="clear" w:color="auto" w:fill="FFFFFF"/>
        </w:rPr>
        <w:t>, samningssamböndum og einstökum viðskiptum í samræmi við ákvæði þetta</w:t>
      </w:r>
      <w:r w:rsidRPr="00853ED6">
        <w:rPr>
          <w:color w:val="242424"/>
          <w:szCs w:val="21"/>
          <w:shd w:val="clear" w:color="auto" w:fill="FFFFFF"/>
        </w:rPr>
        <w:t xml:space="preserve">. </w:t>
      </w:r>
    </w:p>
    <w:p w14:paraId="2CD1DF89" w14:textId="77777777" w:rsidR="00D71380" w:rsidRPr="00FE7B27" w:rsidRDefault="00D71380" w:rsidP="00D71380">
      <w:pPr>
        <w:tabs>
          <w:tab w:val="right" w:pos="9360"/>
        </w:tabs>
        <w:rPr>
          <w:b/>
          <w:bCs/>
          <w:color w:val="242424"/>
          <w:szCs w:val="21"/>
          <w:shd w:val="clear" w:color="auto" w:fill="FFFFFF"/>
        </w:rPr>
      </w:pPr>
      <w:r w:rsidRPr="00FE7B27">
        <w:rPr>
          <w:b/>
          <w:bCs/>
          <w:color w:val="242424"/>
          <w:szCs w:val="21"/>
          <w:shd w:val="clear" w:color="auto" w:fill="FFFFFF"/>
        </w:rPr>
        <w:t>A. Áhættumat á starfsemi.</w:t>
      </w:r>
      <w:r>
        <w:rPr>
          <w:b/>
          <w:bCs/>
          <w:color w:val="242424"/>
          <w:szCs w:val="21"/>
          <w:shd w:val="clear" w:color="auto" w:fill="FFFFFF"/>
        </w:rPr>
        <w:tab/>
      </w:r>
    </w:p>
    <w:p w14:paraId="6D43AFC8" w14:textId="77777777" w:rsidR="00D71380" w:rsidRPr="00853ED6" w:rsidRDefault="7F17698D" w:rsidP="7ED798E0">
      <w:pPr>
        <w:rPr>
          <w:color w:val="242424"/>
          <w:shd w:val="clear" w:color="auto" w:fill="FFFFFF"/>
        </w:rPr>
      </w:pPr>
      <w:r w:rsidRPr="00E272BA">
        <w:rPr>
          <w:rFonts w:eastAsia="Times New Roman"/>
          <w:color w:val="242424"/>
          <w:shd w:val="clear" w:color="auto" w:fill="FFFFFF"/>
        </w:rPr>
        <w:t xml:space="preserve">Áhættumat á starfsemi felur í sér að bera kennsl á og meta hættu á peningaþvætti og fjármögnun hryðjuverka í starfsemi tilkynningarskylds aðila, út frá helstu veikleikum og ógnum sem að starfseminni beinast. Matið </w:t>
      </w:r>
      <w:r w:rsidRPr="7ED798E0">
        <w:rPr>
          <w:color w:val="242424"/>
          <w:shd w:val="clear" w:color="auto" w:fill="FFFFFF"/>
        </w:rPr>
        <w:t xml:space="preserve">skal innihalda skriflega heildstæða greiningu og skal m.a. taka mið af áhættuþáttum sem tengjast viðskiptamönnum, viðskiptalöndum eða svæðum, vörum, þjónustu, viðskiptum, tækni, og dreifileiðum. </w:t>
      </w:r>
      <w:r w:rsidRPr="00853ED6">
        <w:rPr>
          <w:rFonts w:ascii="Cambria" w:hAnsi="Cambria" w:cs="Arial"/>
          <w:color w:val="272727"/>
          <w:shd w:val="clear" w:color="auto" w:fill="FFFFFF"/>
        </w:rPr>
        <w:t xml:space="preserve"> </w:t>
      </w:r>
    </w:p>
    <w:p w14:paraId="50491753" w14:textId="77777777" w:rsidR="00932C6A" w:rsidRPr="00E272BA" w:rsidRDefault="2469BF3D" w:rsidP="7ED798E0">
      <w:pPr>
        <w:autoSpaceDE w:val="0"/>
        <w:autoSpaceDN w:val="0"/>
        <w:rPr>
          <w:color w:val="242424"/>
          <w:szCs w:val="21"/>
        </w:rPr>
      </w:pPr>
      <w:r w:rsidRPr="47A4417F" w:rsidDel="00AA2286">
        <w:rPr>
          <w:color w:val="242424"/>
        </w:rPr>
        <w:t xml:space="preserve">Við gerð áhættumats ber tilkynningarskyldum aðilum að hafa áhættumat skv. 4. gr. til hliðsjónar ásamt fyrirliggjandi upplýsingum </w:t>
      </w:r>
      <w:r w:rsidRPr="000129EE" w:rsidDel="00AA2286">
        <w:rPr>
          <w:color w:val="242424"/>
        </w:rPr>
        <w:t xml:space="preserve">um </w:t>
      </w:r>
      <w:r w:rsidRPr="47A4417F" w:rsidDel="00AA2286">
        <w:rPr>
          <w:color w:val="242424"/>
        </w:rPr>
        <w:t xml:space="preserve">þekkta áhættu og áhættuþætti. </w:t>
      </w:r>
      <w:r w:rsidRPr="47A4417F">
        <w:rPr>
          <w:color w:val="242424"/>
        </w:rPr>
        <w:t xml:space="preserve">Áhættumat </w:t>
      </w:r>
      <w:r w:rsidRPr="00E272BA">
        <w:rPr>
          <w:color w:val="242424"/>
          <w:szCs w:val="21"/>
        </w:rPr>
        <w:t>skal taka mið af stærð, eðli</w:t>
      </w:r>
      <w:r w:rsidR="5D796791" w:rsidRPr="00E272BA">
        <w:rPr>
          <w:color w:val="242424"/>
          <w:szCs w:val="21"/>
        </w:rPr>
        <w:t xml:space="preserve">, </w:t>
      </w:r>
      <w:r w:rsidRPr="00E272BA">
        <w:rPr>
          <w:color w:val="242424"/>
          <w:szCs w:val="21"/>
        </w:rPr>
        <w:t>umfangi</w:t>
      </w:r>
      <w:r w:rsidR="3FB34207" w:rsidRPr="00E272BA">
        <w:rPr>
          <w:color w:val="242424"/>
          <w:szCs w:val="21"/>
        </w:rPr>
        <w:t xml:space="preserve"> </w:t>
      </w:r>
      <w:r w:rsidRPr="00E272BA">
        <w:rPr>
          <w:color w:val="242424"/>
          <w:szCs w:val="21"/>
        </w:rPr>
        <w:t xml:space="preserve"> og </w:t>
      </w:r>
      <w:proofErr w:type="spellStart"/>
      <w:r w:rsidRPr="00E272BA">
        <w:rPr>
          <w:color w:val="242424"/>
          <w:szCs w:val="21"/>
        </w:rPr>
        <w:t>margbreytileika</w:t>
      </w:r>
      <w:proofErr w:type="spellEnd"/>
      <w:r w:rsidRPr="00E272BA">
        <w:rPr>
          <w:color w:val="242424"/>
          <w:szCs w:val="21"/>
        </w:rPr>
        <w:t xml:space="preserve"> </w:t>
      </w:r>
      <w:r w:rsidR="74FABAC3" w:rsidRPr="00E272BA">
        <w:rPr>
          <w:color w:val="242424"/>
          <w:szCs w:val="21"/>
        </w:rPr>
        <w:t xml:space="preserve">í </w:t>
      </w:r>
      <w:r w:rsidR="533C3FB4" w:rsidRPr="00E272BA">
        <w:rPr>
          <w:color w:val="242424"/>
          <w:szCs w:val="21"/>
        </w:rPr>
        <w:t>starfsemi tilkynningarskylds aðila</w:t>
      </w:r>
      <w:r w:rsidRPr="00E272BA">
        <w:rPr>
          <w:color w:val="242424"/>
          <w:szCs w:val="21"/>
        </w:rPr>
        <w:t>.</w:t>
      </w:r>
      <w:r w:rsidR="68223921" w:rsidRPr="00E272BA">
        <w:rPr>
          <w:color w:val="242424"/>
          <w:szCs w:val="21"/>
        </w:rPr>
        <w:t xml:space="preserve"> </w:t>
      </w:r>
      <w:bookmarkStart w:id="9" w:name="_Hlk60490858"/>
    </w:p>
    <w:p w14:paraId="2CF733D9" w14:textId="18675C35" w:rsidR="00D71380" w:rsidRPr="00E272BA" w:rsidDel="00AA2286" w:rsidRDefault="7F17698D" w:rsidP="7ED798E0">
      <w:pPr>
        <w:autoSpaceDE w:val="0"/>
        <w:autoSpaceDN w:val="0"/>
        <w:rPr>
          <w:rFonts w:asciiTheme="minorHAnsi" w:eastAsiaTheme="minorEastAsia" w:hAnsiTheme="minorHAnsi" w:cstheme="minorBidi"/>
          <w:szCs w:val="21"/>
        </w:rPr>
      </w:pPr>
      <w:r w:rsidRPr="00E272BA">
        <w:rPr>
          <w:szCs w:val="21"/>
        </w:rPr>
        <w:t>Áður en áhættumat er unnið skal tilkynningarskyldur aðili skjalfesta þá aðferðafræði sem notuð verður við gerð áhættumatsins. Fara skal fram reglulegt mat á aðferðafræði og hún uppfærð ef tilefni er til.</w:t>
      </w:r>
    </w:p>
    <w:bookmarkEnd w:id="9"/>
    <w:p w14:paraId="228CCC1F" w14:textId="77777777" w:rsidR="00D71380" w:rsidRPr="00E272BA" w:rsidRDefault="7F17698D" w:rsidP="7ED798E0">
      <w:pPr>
        <w:rPr>
          <w:color w:val="242424"/>
          <w:szCs w:val="21"/>
          <w:shd w:val="clear" w:color="auto" w:fill="FFFFFF"/>
        </w:rPr>
      </w:pPr>
      <w:r w:rsidRPr="00E272BA">
        <w:rPr>
          <w:szCs w:val="21"/>
        </w:rPr>
        <w:t xml:space="preserve">Í áhættumati skal m.a. fjallað um: </w:t>
      </w:r>
    </w:p>
    <w:p w14:paraId="0E7F9542" w14:textId="77777777" w:rsidR="00D71380" w:rsidRPr="00E272BA" w:rsidRDefault="7F17698D" w:rsidP="7ED798E0">
      <w:pPr>
        <w:ind w:left="284"/>
        <w:contextualSpacing/>
        <w:rPr>
          <w:szCs w:val="21"/>
        </w:rPr>
      </w:pPr>
      <w:r w:rsidRPr="00E272BA">
        <w:rPr>
          <w:szCs w:val="21"/>
        </w:rPr>
        <w:t xml:space="preserve">a. eðlislæga áhættu, áhættuflokkun einstakra áhættuþátta og forsendur þeirrar niðurstöðu; </w:t>
      </w:r>
    </w:p>
    <w:p w14:paraId="4F8DD034" w14:textId="77777777" w:rsidR="00D71380" w:rsidRPr="00E272BA" w:rsidRDefault="7F17698D" w:rsidP="7ED798E0">
      <w:pPr>
        <w:contextualSpacing/>
        <w:rPr>
          <w:szCs w:val="21"/>
        </w:rPr>
      </w:pPr>
      <w:r w:rsidRPr="00E272BA">
        <w:rPr>
          <w:szCs w:val="21"/>
        </w:rPr>
        <w:t xml:space="preserve">b. gæði stýringa og annarra aðferða til að draga úr áhættu; </w:t>
      </w:r>
    </w:p>
    <w:p w14:paraId="0E7942D2" w14:textId="3A967B77" w:rsidR="00D71380" w:rsidRPr="00E272BA" w:rsidRDefault="2469BF3D" w:rsidP="7ED798E0">
      <w:pPr>
        <w:contextualSpacing/>
        <w:rPr>
          <w:szCs w:val="21"/>
        </w:rPr>
      </w:pPr>
      <w:r w:rsidRPr="00E272BA">
        <w:rPr>
          <w:szCs w:val="21"/>
        </w:rPr>
        <w:t xml:space="preserve">c. </w:t>
      </w:r>
      <w:proofErr w:type="spellStart"/>
      <w:r w:rsidR="712615FD" w:rsidRPr="00E272BA">
        <w:rPr>
          <w:szCs w:val="21"/>
        </w:rPr>
        <w:t>eftirstæða</w:t>
      </w:r>
      <w:proofErr w:type="spellEnd"/>
      <w:r w:rsidR="712615FD" w:rsidRPr="00E272BA">
        <w:rPr>
          <w:szCs w:val="21"/>
        </w:rPr>
        <w:t xml:space="preserve"> áhættu og </w:t>
      </w:r>
      <w:r w:rsidRPr="00E272BA">
        <w:rPr>
          <w:szCs w:val="21"/>
        </w:rPr>
        <w:t>áhættuflokkun einstakra áhættuþátta</w:t>
      </w:r>
      <w:r w:rsidR="05F2834A" w:rsidRPr="00E272BA">
        <w:rPr>
          <w:szCs w:val="21"/>
        </w:rPr>
        <w:t>.</w:t>
      </w:r>
      <w:r w:rsidRPr="00E272BA">
        <w:rPr>
          <w:szCs w:val="21"/>
        </w:rPr>
        <w:t xml:space="preserve">   </w:t>
      </w:r>
    </w:p>
    <w:p w14:paraId="5D05234A" w14:textId="77777777" w:rsidR="00D71380" w:rsidRPr="00E272BA" w:rsidRDefault="7F17698D" w:rsidP="7ED798E0">
      <w:pPr>
        <w:rPr>
          <w:color w:val="242424"/>
          <w:szCs w:val="21"/>
          <w:shd w:val="clear" w:color="auto" w:fill="FFFFFF"/>
        </w:rPr>
      </w:pPr>
      <w:r w:rsidRPr="00E272BA" w:rsidDel="00AA2286">
        <w:rPr>
          <w:color w:val="242424"/>
          <w:szCs w:val="21"/>
          <w:shd w:val="clear" w:color="auto" w:fill="FFFFFF"/>
        </w:rPr>
        <w:t xml:space="preserve">Áhættumat </w:t>
      </w:r>
      <w:r w:rsidRPr="00E272BA">
        <w:rPr>
          <w:color w:val="242424"/>
          <w:szCs w:val="21"/>
          <w:shd w:val="clear" w:color="auto" w:fill="FFFFFF"/>
        </w:rPr>
        <w:t>skv. 1. mgr. skal uppfært</w:t>
      </w:r>
      <w:r w:rsidRPr="00E272BA" w:rsidDel="00AA2286">
        <w:rPr>
          <w:color w:val="242424"/>
          <w:szCs w:val="21"/>
          <w:shd w:val="clear" w:color="auto" w:fill="FFFFFF"/>
        </w:rPr>
        <w:t xml:space="preserve"> á tveggja ára fresti eða oftar ef tilefni er til. </w:t>
      </w:r>
      <w:r w:rsidRPr="00E272BA">
        <w:rPr>
          <w:color w:val="242424"/>
          <w:szCs w:val="21"/>
          <w:shd w:val="clear" w:color="auto" w:fill="FFFFFF"/>
        </w:rPr>
        <w:t xml:space="preserve">Ávallt skal framkvæma áhættumat áður en nýjar vörur eða þjónusta er sett á markað og þegar teknar eru í notkun nýjar dreifileiðir og ný tækni. </w:t>
      </w:r>
    </w:p>
    <w:p w14:paraId="2927C625" w14:textId="77777777" w:rsidR="00D71380" w:rsidRPr="00E272BA" w:rsidDel="00AA2286" w:rsidRDefault="7F17698D" w:rsidP="7ED798E0">
      <w:pPr>
        <w:rPr>
          <w:color w:val="242424"/>
          <w:szCs w:val="21"/>
          <w:shd w:val="clear" w:color="auto" w:fill="FFFFFF"/>
        </w:rPr>
      </w:pPr>
      <w:r w:rsidRPr="00E272BA" w:rsidDel="00AA2286">
        <w:rPr>
          <w:color w:val="242424"/>
          <w:szCs w:val="21"/>
          <w:shd w:val="clear" w:color="auto" w:fill="FFFFFF"/>
        </w:rPr>
        <w:t xml:space="preserve">Eftirlitsaðilum og öðrum </w:t>
      </w:r>
      <w:proofErr w:type="spellStart"/>
      <w:r w:rsidRPr="00E272BA" w:rsidDel="00AA2286">
        <w:rPr>
          <w:color w:val="242424"/>
          <w:szCs w:val="21"/>
          <w:shd w:val="clear" w:color="auto" w:fill="FFFFFF"/>
        </w:rPr>
        <w:t>lögbærum</w:t>
      </w:r>
      <w:proofErr w:type="spellEnd"/>
      <w:r w:rsidRPr="00E272BA" w:rsidDel="00AA2286">
        <w:rPr>
          <w:color w:val="242424"/>
          <w:szCs w:val="21"/>
          <w:shd w:val="clear" w:color="auto" w:fill="FFFFFF"/>
        </w:rPr>
        <w:t xml:space="preserve"> stjórnvöldum samkvæmt lögum þessum skal afhent afrit af áhættumati sé þess óskað.</w:t>
      </w:r>
    </w:p>
    <w:p w14:paraId="107DC1BD" w14:textId="30C59936" w:rsidR="00D71380" w:rsidRPr="00853ED6" w:rsidRDefault="2469BF3D" w:rsidP="00896869">
      <w:pPr>
        <w:contextualSpacing/>
        <w:rPr>
          <w:color w:val="242424"/>
          <w:szCs w:val="21"/>
          <w:shd w:val="clear" w:color="auto" w:fill="FFFFFF"/>
        </w:rPr>
      </w:pPr>
      <w:r w:rsidRPr="00E272BA">
        <w:rPr>
          <w:color w:val="242424"/>
          <w:szCs w:val="21"/>
          <w:shd w:val="clear" w:color="auto" w:fill="FFFFFF"/>
        </w:rPr>
        <w:lastRenderedPageBreak/>
        <w:t xml:space="preserve">Eftirlitsaðilar geta ákveðið að gera ekki kröfu um áhættumat skv. 1. mgr.  þar sem tiltekin starfsemi eða viðskipti eru þess eðlis að áhættuþættir eru skýrir og þekktir og viðeigandi ráðstafanir til að draga úr áhættu eru til staðar. </w:t>
      </w:r>
    </w:p>
    <w:p w14:paraId="437E3C9D" w14:textId="77777777" w:rsidR="00D71380" w:rsidRDefault="00D71380" w:rsidP="00D71380">
      <w:pPr>
        <w:rPr>
          <w:b/>
          <w:bCs/>
          <w:color w:val="242424"/>
          <w:szCs w:val="21"/>
          <w:shd w:val="clear" w:color="auto" w:fill="FFFFFF"/>
        </w:rPr>
      </w:pPr>
      <w:r w:rsidRPr="00FE7B27">
        <w:rPr>
          <w:b/>
          <w:bCs/>
          <w:szCs w:val="21"/>
        </w:rPr>
        <w:t xml:space="preserve">B. </w:t>
      </w:r>
      <w:r w:rsidRPr="00FE7B27">
        <w:rPr>
          <w:b/>
          <w:bCs/>
          <w:color w:val="242424"/>
          <w:szCs w:val="21"/>
          <w:shd w:val="clear" w:color="auto" w:fill="FFFFFF"/>
        </w:rPr>
        <w:t>Áhættumat á samningssamböndum og einstökum viðskiptum</w:t>
      </w:r>
      <w:r>
        <w:rPr>
          <w:b/>
          <w:bCs/>
          <w:color w:val="242424"/>
          <w:szCs w:val="21"/>
          <w:shd w:val="clear" w:color="auto" w:fill="FFFFFF"/>
        </w:rPr>
        <w:t>.</w:t>
      </w:r>
    </w:p>
    <w:p w14:paraId="4F709D2E" w14:textId="77777777" w:rsidR="00D71380" w:rsidRPr="00E272BA" w:rsidRDefault="014BCA05" w:rsidP="47A4417F">
      <w:pPr>
        <w:rPr>
          <w:rFonts w:eastAsia="Times New Roman"/>
          <w:i/>
          <w:iCs/>
          <w:color w:val="242424"/>
          <w:shd w:val="clear" w:color="auto" w:fill="FFFFFF"/>
        </w:rPr>
      </w:pPr>
      <w:bookmarkStart w:id="10" w:name="_Hlk60490824"/>
      <w:r w:rsidRPr="00E272BA">
        <w:rPr>
          <w:rFonts w:eastAsia="Times New Roman"/>
        </w:rPr>
        <w:t>Áður en áhættumat á samningssamböndum og einstökum viðskiptum fer fram skal tilkynningarskyldur aðili skjalfesta þá aðferðafræði sem notuð verður við gerð áhættumatsins. Fara skal fram reglulegt mat á aðferðafræði og hún uppfærð ef tilefni er til.</w:t>
      </w:r>
    </w:p>
    <w:bookmarkEnd w:id="10"/>
    <w:p w14:paraId="2E4AC83A" w14:textId="77777777" w:rsidR="00D71380" w:rsidRPr="00E272BA" w:rsidRDefault="014BCA05" w:rsidP="47A4417F">
      <w:pPr>
        <w:rPr>
          <w:rFonts w:eastAsia="Times New Roman"/>
        </w:rPr>
      </w:pPr>
      <w:r w:rsidRPr="00E272BA">
        <w:rPr>
          <w:rFonts w:eastAsia="Times New Roman"/>
        </w:rPr>
        <w:t xml:space="preserve">Áhættumat á samningssamböndum og einstökum viðskiptum skal byggja á áhættumati á starfsemi skv. A. lið. </w:t>
      </w:r>
    </w:p>
    <w:p w14:paraId="05F01CBC" w14:textId="77777777" w:rsidR="00D71380" w:rsidRPr="00E272BA" w:rsidRDefault="014BCA05" w:rsidP="47A4417F">
      <w:pPr>
        <w:rPr>
          <w:rFonts w:eastAsia="Times New Roman"/>
        </w:rPr>
      </w:pPr>
      <w:r w:rsidRPr="00E272BA">
        <w:rPr>
          <w:rFonts w:eastAsia="Times New Roman"/>
        </w:rPr>
        <w:t xml:space="preserve">Áhættumat á samningssamböndum og einstökum viðskiptum skal notað til að ákveða tegund og umfang áreiðanleikakönnunar, m.a. til þess að meta hvort beita eigi aukinni áreiðanleikakönnun eða hvort heimilt sé að beita einfaldaðri áreiðanleikakönnun. Áhættumatið er einnig grundvöllur ákvörðunar um með hvaða hætti eftirlit með samningssamböndum og einstökum viðskiptum skuli framkvæmt hjá tilkynningarskyldum aðilum. </w:t>
      </w:r>
    </w:p>
    <w:p w14:paraId="678B0C98" w14:textId="77777777" w:rsidR="00D71380" w:rsidRPr="00853ED6" w:rsidRDefault="00D71380" w:rsidP="00D71380">
      <w:pPr>
        <w:rPr>
          <w:i/>
          <w:color w:val="242424"/>
          <w:szCs w:val="21"/>
          <w:shd w:val="clear" w:color="auto" w:fill="FFFFFF"/>
        </w:rPr>
      </w:pPr>
      <w:bookmarkStart w:id="11" w:name="_Hlk92367203"/>
      <w:r w:rsidRPr="00853ED6">
        <w:rPr>
          <w:szCs w:val="21"/>
        </w:rPr>
        <w:t xml:space="preserve">Við mat á því hvernig samningssambönd og einstök viðskipti skulu áhættuflokkuð skal horft til allra viðeigandi áhættuþátta sem geta, einir sér eða samanlagt, aukið eða dregið úr áhættu vegna peningaþvættis eða fjármögnunar hryðjuverka. Horfa skal til þeirrar heildaráhættu sem tengist samningssambandi og einstökum viðskiptum, m.a. til: </w:t>
      </w:r>
    </w:p>
    <w:p w14:paraId="5C6F1B2D" w14:textId="77777777" w:rsidR="00D71380" w:rsidRPr="00853ED6" w:rsidRDefault="00D71380" w:rsidP="00D71380">
      <w:pPr>
        <w:ind w:left="568" w:firstLine="76"/>
        <w:contextualSpacing/>
        <w:rPr>
          <w:szCs w:val="21"/>
        </w:rPr>
      </w:pPr>
      <w:r w:rsidRPr="00853ED6">
        <w:rPr>
          <w:szCs w:val="21"/>
        </w:rPr>
        <w:t xml:space="preserve">a. starfsemi, orðspors og stjórnmálalegra tengsla viðskiptamanns og raunverulegs eiganda, </w:t>
      </w:r>
    </w:p>
    <w:p w14:paraId="2D728622" w14:textId="77777777" w:rsidR="00D71380" w:rsidRPr="00853ED6" w:rsidRDefault="00D71380" w:rsidP="00D71380">
      <w:pPr>
        <w:ind w:left="360"/>
        <w:contextualSpacing/>
        <w:rPr>
          <w:szCs w:val="21"/>
        </w:rPr>
      </w:pPr>
      <w:r w:rsidRPr="00853ED6">
        <w:rPr>
          <w:szCs w:val="21"/>
        </w:rPr>
        <w:t xml:space="preserve">b. ríkja eða ríkjasvæða sem tengjast viðskiptasambandinu, </w:t>
      </w:r>
    </w:p>
    <w:p w14:paraId="1D9098B3" w14:textId="77777777" w:rsidR="00D71380" w:rsidRPr="00853ED6" w:rsidRDefault="014BCA05" w:rsidP="00D71380">
      <w:pPr>
        <w:ind w:left="360"/>
        <w:contextualSpacing/>
      </w:pPr>
      <w:r>
        <w:t xml:space="preserve">c. áhættuþátta sem tengjast þeirri vöru, þjónustu eða færslum sem sóst er eftir, </w:t>
      </w:r>
    </w:p>
    <w:p w14:paraId="4F3ED668" w14:textId="77777777" w:rsidR="00D71380" w:rsidRPr="00853ED6" w:rsidRDefault="00D71380" w:rsidP="00D71380">
      <w:pPr>
        <w:ind w:left="360"/>
        <w:contextualSpacing/>
        <w:rPr>
          <w:szCs w:val="21"/>
        </w:rPr>
      </w:pPr>
      <w:r w:rsidRPr="00853ED6">
        <w:rPr>
          <w:szCs w:val="21"/>
        </w:rPr>
        <w:t xml:space="preserve">d. dreifileiða sem notaðar eru, </w:t>
      </w:r>
    </w:p>
    <w:p w14:paraId="38B42348" w14:textId="77777777" w:rsidR="00D71380" w:rsidRPr="00853ED6" w:rsidRDefault="014BCA05" w:rsidP="00D71380">
      <w:pPr>
        <w:ind w:left="360"/>
        <w:contextualSpacing/>
      </w:pPr>
      <w:r>
        <w:t xml:space="preserve">e. hvort viðskiptamaður noti milligönguaðila til að koma fram fyrir sína hönd, </w:t>
      </w:r>
    </w:p>
    <w:p w14:paraId="71BA5047" w14:textId="77777777" w:rsidR="00D71380" w:rsidRPr="00853ED6" w:rsidRDefault="00D71380" w:rsidP="00D71380">
      <w:pPr>
        <w:ind w:left="360"/>
        <w:contextualSpacing/>
        <w:rPr>
          <w:szCs w:val="21"/>
        </w:rPr>
      </w:pPr>
      <w:r w:rsidRPr="00853ED6">
        <w:rPr>
          <w:szCs w:val="21"/>
        </w:rPr>
        <w:t xml:space="preserve">f. hvort viðskiptamaður sé lögaðili með flókið eignarhald eða stjórnskipulag, </w:t>
      </w:r>
    </w:p>
    <w:p w14:paraId="13A6ACCE" w14:textId="77777777" w:rsidR="00D71380" w:rsidRPr="00853ED6" w:rsidRDefault="00D71380" w:rsidP="00D71380">
      <w:pPr>
        <w:ind w:left="360"/>
        <w:contextualSpacing/>
        <w:rPr>
          <w:szCs w:val="21"/>
        </w:rPr>
      </w:pPr>
      <w:r w:rsidRPr="00853ED6">
        <w:rPr>
          <w:szCs w:val="21"/>
        </w:rPr>
        <w:t xml:space="preserve">g. hvort viðskiptamaður sé fjárvörslusjóður eða sambærilegur aðili, og </w:t>
      </w:r>
    </w:p>
    <w:p w14:paraId="7C401BCC" w14:textId="77777777" w:rsidR="00D71380" w:rsidRPr="00853ED6" w:rsidRDefault="00D71380" w:rsidP="00D71380">
      <w:pPr>
        <w:ind w:left="360"/>
        <w:contextualSpacing/>
        <w:rPr>
          <w:szCs w:val="21"/>
        </w:rPr>
      </w:pPr>
      <w:r w:rsidRPr="00853ED6">
        <w:rPr>
          <w:szCs w:val="21"/>
        </w:rPr>
        <w:t>h. hvort viðskiptamaður stundi aðallega reiðufjárviðskipti.</w:t>
      </w:r>
    </w:p>
    <w:bookmarkEnd w:id="11"/>
    <w:p w14:paraId="42774D75" w14:textId="77777777" w:rsidR="00D71380" w:rsidRPr="00853ED6" w:rsidRDefault="00D71380" w:rsidP="00D71380">
      <w:pPr>
        <w:rPr>
          <w:szCs w:val="21"/>
        </w:rPr>
      </w:pPr>
      <w:r w:rsidRPr="00853ED6">
        <w:rPr>
          <w:szCs w:val="21"/>
        </w:rPr>
        <w:t>Tilkynningarskyldir aðilar skulu tryggja að áhættumat á samningssamböndum endurspegli fyrirliggjandi áhættu á hverjum tíma og sé í samræmi við þau viðskipti sem viðskiptamaður stundar.</w:t>
      </w:r>
    </w:p>
    <w:p w14:paraId="4315C73F" w14:textId="354D17BF" w:rsidR="00D56769" w:rsidRPr="00E02B2B" w:rsidRDefault="00D56769" w:rsidP="00E272BA">
      <w:pPr>
        <w:ind w:firstLine="0"/>
        <w:rPr>
          <w:rFonts w:ascii="Cambria" w:hAnsi="Cambria"/>
        </w:rPr>
      </w:pPr>
    </w:p>
    <w:bookmarkEnd w:id="8"/>
    <w:p w14:paraId="5AF5960C" w14:textId="620D0300" w:rsidR="007E2351" w:rsidRPr="00896869" w:rsidRDefault="007E2351" w:rsidP="00896869">
      <w:pPr>
        <w:ind w:firstLine="0"/>
        <w:jc w:val="center"/>
        <w:rPr>
          <w:szCs w:val="21"/>
        </w:rPr>
      </w:pPr>
      <w:r w:rsidRPr="00896869">
        <w:rPr>
          <w:szCs w:val="21"/>
        </w:rPr>
        <w:t xml:space="preserve">5. gr. </w:t>
      </w:r>
      <w:r w:rsidR="007C03B6" w:rsidRPr="00896869">
        <w:rPr>
          <w:szCs w:val="21"/>
        </w:rPr>
        <w:t>a</w:t>
      </w:r>
      <w:r w:rsidRPr="00896869">
        <w:rPr>
          <w:szCs w:val="21"/>
        </w:rPr>
        <w:t>.</w:t>
      </w:r>
    </w:p>
    <w:p w14:paraId="512D1BA7" w14:textId="5D316B34" w:rsidR="00F8731B" w:rsidRDefault="00C35772" w:rsidP="006E269D">
      <w:pPr>
        <w:jc w:val="center"/>
        <w:rPr>
          <w:i/>
          <w:iCs/>
        </w:rPr>
      </w:pPr>
      <w:r w:rsidRPr="00C35772">
        <w:rPr>
          <w:i/>
          <w:iCs/>
        </w:rPr>
        <w:t>Stefna, stýringar og verkferlar.</w:t>
      </w:r>
    </w:p>
    <w:p w14:paraId="4BEA9723" w14:textId="588A1C0D" w:rsidR="006B668B" w:rsidRDefault="0A347E7A" w:rsidP="47A4417F">
      <w:pPr>
        <w:rPr>
          <w:i/>
          <w:iCs/>
        </w:rPr>
      </w:pPr>
      <w:bookmarkStart w:id="12" w:name="_Hlk92367593"/>
      <w:r>
        <w:rPr>
          <w:color w:val="242424"/>
          <w:shd w:val="clear" w:color="auto" w:fill="FFFFFF"/>
        </w:rPr>
        <w:t>Tilkynningarskyldir aðilar skulu hafa skjalfesta stefnu, stýringar og verkferla til að draga úr og stýra áhættu sem stafar af peningaþvætti og fjármögnun hryðjuverka.</w:t>
      </w:r>
      <w:r w:rsidR="5CF6FBE5">
        <w:rPr>
          <w:color w:val="242424"/>
          <w:shd w:val="clear" w:color="auto" w:fill="FFFFFF"/>
        </w:rPr>
        <w:t xml:space="preserve"> Byggja skal stefnu, stýringar og verkferla</w:t>
      </w:r>
      <w:r w:rsidR="180532C9" w:rsidRPr="47A4417F">
        <w:rPr>
          <w:color w:val="242424"/>
        </w:rPr>
        <w:t xml:space="preserve"> </w:t>
      </w:r>
      <w:r w:rsidR="5CF6FBE5">
        <w:rPr>
          <w:color w:val="242424"/>
          <w:shd w:val="clear" w:color="auto" w:fill="FFFFFF"/>
        </w:rPr>
        <w:t xml:space="preserve">á </w:t>
      </w:r>
      <w:r w:rsidR="45BCE5C5">
        <w:rPr>
          <w:color w:val="242424"/>
          <w:shd w:val="clear" w:color="auto" w:fill="FFFFFF"/>
        </w:rPr>
        <w:t>áhættumati skv. 5. gr</w:t>
      </w:r>
      <w:r w:rsidR="3C69CCE2">
        <w:rPr>
          <w:color w:val="242424"/>
          <w:shd w:val="clear" w:color="auto" w:fill="FFFFFF"/>
        </w:rPr>
        <w:t xml:space="preserve">. </w:t>
      </w:r>
      <w:r>
        <w:rPr>
          <w:color w:val="242424"/>
          <w:shd w:val="clear" w:color="auto" w:fill="FFFFFF"/>
        </w:rPr>
        <w:t>Ráðstafanir tilkynningarskyldra aðila samkvæmt þessu ákvæði skulu vera í samræmi við stærð, eðli</w:t>
      </w:r>
      <w:r w:rsidR="56CDAB7A">
        <w:rPr>
          <w:color w:val="242424"/>
          <w:shd w:val="clear" w:color="auto" w:fill="FFFFFF"/>
        </w:rPr>
        <w:t>,</w:t>
      </w:r>
      <w:r>
        <w:rPr>
          <w:color w:val="242424"/>
          <w:shd w:val="clear" w:color="auto" w:fill="FFFFFF"/>
        </w:rPr>
        <w:t xml:space="preserve"> umfang </w:t>
      </w:r>
      <w:r w:rsidR="56CDAB7A">
        <w:rPr>
          <w:color w:val="242424"/>
          <w:shd w:val="clear" w:color="auto" w:fill="FFFFFF"/>
        </w:rPr>
        <w:t xml:space="preserve">og </w:t>
      </w:r>
      <w:proofErr w:type="spellStart"/>
      <w:r w:rsidR="56CDAB7A">
        <w:rPr>
          <w:color w:val="242424"/>
          <w:shd w:val="clear" w:color="auto" w:fill="FFFFFF"/>
        </w:rPr>
        <w:t>margbreytileika</w:t>
      </w:r>
      <w:proofErr w:type="spellEnd"/>
      <w:r w:rsidR="56CDAB7A">
        <w:rPr>
          <w:color w:val="242424"/>
          <w:shd w:val="clear" w:color="auto" w:fill="FFFFFF"/>
        </w:rPr>
        <w:t xml:space="preserve"> í</w:t>
      </w:r>
      <w:r>
        <w:rPr>
          <w:color w:val="242424"/>
          <w:shd w:val="clear" w:color="auto" w:fill="FFFFFF"/>
        </w:rPr>
        <w:t xml:space="preserve"> starfsemi tilkynningarskylds aðila.</w:t>
      </w:r>
    </w:p>
    <w:p w14:paraId="07B23431" w14:textId="48BAE82C" w:rsidR="00657F9A" w:rsidRDefault="007E2351" w:rsidP="006E269D">
      <w:pPr>
        <w:ind w:left="284" w:firstLine="0"/>
        <w:rPr>
          <w:color w:val="242424"/>
          <w:shd w:val="clear" w:color="auto" w:fill="FFFFFF"/>
        </w:rPr>
      </w:pPr>
      <w:r>
        <w:rPr>
          <w:color w:val="242424"/>
          <w:shd w:val="clear" w:color="auto" w:fill="FFFFFF"/>
        </w:rPr>
        <w:t>Stefna</w:t>
      </w:r>
      <w:r w:rsidR="00323417">
        <w:rPr>
          <w:color w:val="242424"/>
          <w:shd w:val="clear" w:color="auto" w:fill="FFFFFF"/>
        </w:rPr>
        <w:t>, stýringar</w:t>
      </w:r>
      <w:r w:rsidR="005B7263">
        <w:rPr>
          <w:color w:val="242424"/>
          <w:shd w:val="clear" w:color="auto" w:fill="FFFFFF"/>
        </w:rPr>
        <w:t xml:space="preserve"> og</w:t>
      </w:r>
      <w:r>
        <w:rPr>
          <w:color w:val="242424"/>
          <w:shd w:val="clear" w:color="auto" w:fill="FFFFFF"/>
        </w:rPr>
        <w:t xml:space="preserve"> verkferlar skv. </w:t>
      </w:r>
      <w:r w:rsidR="006B668B">
        <w:rPr>
          <w:color w:val="242424"/>
          <w:shd w:val="clear" w:color="auto" w:fill="FFFFFF"/>
        </w:rPr>
        <w:t>1</w:t>
      </w:r>
      <w:r>
        <w:rPr>
          <w:color w:val="242424"/>
          <w:shd w:val="clear" w:color="auto" w:fill="FFFFFF"/>
        </w:rPr>
        <w:t xml:space="preserve">. mgr. skulu að lágmarki </w:t>
      </w:r>
      <w:r w:rsidR="0074238F">
        <w:rPr>
          <w:color w:val="242424"/>
          <w:shd w:val="clear" w:color="auto" w:fill="FFFFFF"/>
        </w:rPr>
        <w:t>fela í sér, eftir því sem við á</w:t>
      </w:r>
      <w:r>
        <w:rPr>
          <w:color w:val="242424"/>
          <w:shd w:val="clear" w:color="auto" w:fill="FFFFFF"/>
        </w:rPr>
        <w:t>:</w:t>
      </w:r>
      <w:r>
        <w:rPr>
          <w:color w:val="242424"/>
        </w:rPr>
        <w:br/>
      </w:r>
      <w:r>
        <w:rPr>
          <w:color w:val="242424"/>
          <w:shd w:val="clear" w:color="auto" w:fill="FFFFFF"/>
        </w:rPr>
        <w:t>    </w:t>
      </w:r>
      <w:r w:rsidR="00657F9A">
        <w:rPr>
          <w:color w:val="242424"/>
          <w:shd w:val="clear" w:color="auto" w:fill="FFFFFF"/>
        </w:rPr>
        <w:tab/>
      </w:r>
      <w:r>
        <w:rPr>
          <w:color w:val="242424"/>
          <w:shd w:val="clear" w:color="auto" w:fill="FFFFFF"/>
        </w:rPr>
        <w:t>a.</w:t>
      </w:r>
      <w:r w:rsidR="00657F9A">
        <w:rPr>
          <w:color w:val="242424"/>
          <w:shd w:val="clear" w:color="auto" w:fill="FFFFFF"/>
        </w:rPr>
        <w:tab/>
      </w:r>
      <w:r>
        <w:rPr>
          <w:color w:val="242424"/>
          <w:shd w:val="clear" w:color="auto" w:fill="FFFFFF"/>
        </w:rPr>
        <w:t xml:space="preserve">ákvæði um þróun </w:t>
      </w:r>
      <w:r w:rsidRPr="00DE714E">
        <w:rPr>
          <w:color w:val="242424"/>
          <w:shd w:val="clear" w:color="auto" w:fill="FFFFFF"/>
        </w:rPr>
        <w:t xml:space="preserve">og </w:t>
      </w:r>
      <w:r w:rsidRPr="00C00730">
        <w:rPr>
          <w:color w:val="242424"/>
          <w:shd w:val="clear" w:color="auto" w:fill="FFFFFF"/>
        </w:rPr>
        <w:t>uppfærslu stefnu</w:t>
      </w:r>
      <w:r w:rsidR="00DE714E" w:rsidRPr="00803C4A">
        <w:rPr>
          <w:color w:val="242424"/>
          <w:shd w:val="clear" w:color="auto" w:fill="FFFFFF"/>
        </w:rPr>
        <w:t>, stýringa</w:t>
      </w:r>
      <w:r w:rsidRPr="00DE714E">
        <w:rPr>
          <w:color w:val="242424"/>
          <w:shd w:val="clear" w:color="auto" w:fill="FFFFFF"/>
        </w:rPr>
        <w:t xml:space="preserve"> og verkferla</w:t>
      </w:r>
      <w:r w:rsidRPr="00C00730">
        <w:rPr>
          <w:color w:val="242424"/>
          <w:shd w:val="clear" w:color="auto" w:fill="FFFFFF"/>
        </w:rPr>
        <w:t>,</w:t>
      </w:r>
      <w:r>
        <w:rPr>
          <w:color w:val="242424"/>
          <w:shd w:val="clear" w:color="auto" w:fill="FFFFFF"/>
        </w:rPr>
        <w:t xml:space="preserve"> þ.m.t. aðferðir við </w:t>
      </w:r>
    </w:p>
    <w:p w14:paraId="188512F5" w14:textId="65B3236F" w:rsidR="00657F9A" w:rsidRDefault="00CB4C6C" w:rsidP="006E269D">
      <w:pPr>
        <w:ind w:left="852" w:firstLine="0"/>
        <w:rPr>
          <w:color w:val="242424"/>
          <w:shd w:val="clear" w:color="auto" w:fill="FFFFFF"/>
        </w:rPr>
      </w:pPr>
      <w:r>
        <w:rPr>
          <w:color w:val="242424"/>
          <w:shd w:val="clear" w:color="auto" w:fill="FFFFFF"/>
        </w:rPr>
        <w:t>áhættustýringu</w:t>
      </w:r>
      <w:r w:rsidR="007E2351">
        <w:rPr>
          <w:color w:val="242424"/>
          <w:shd w:val="clear" w:color="auto" w:fill="FFFFFF"/>
        </w:rPr>
        <w:t xml:space="preserve">, áreiðanleikakönnun, tilkynningar um grunsamleg viðskipti, </w:t>
      </w:r>
      <w:r w:rsidR="00727368">
        <w:rPr>
          <w:color w:val="242424"/>
          <w:shd w:val="clear" w:color="auto" w:fill="FFFFFF"/>
        </w:rPr>
        <w:t xml:space="preserve">varðveislu gagna, </w:t>
      </w:r>
      <w:r w:rsidR="007E2351">
        <w:rPr>
          <w:color w:val="242424"/>
          <w:shd w:val="clear" w:color="auto" w:fill="FFFFFF"/>
        </w:rPr>
        <w:t>innra eftirlit og tilnefningu ábyrgðarmanns, og könnun á hæfi starfsmanna, og</w:t>
      </w:r>
      <w:r w:rsidR="00657F9A">
        <w:rPr>
          <w:color w:val="242424"/>
          <w:shd w:val="clear" w:color="auto" w:fill="FFFFFF"/>
        </w:rPr>
        <w:t xml:space="preserve"> </w:t>
      </w:r>
    </w:p>
    <w:p w14:paraId="63C57836" w14:textId="42874367" w:rsidR="00657F9A" w:rsidRDefault="01D1CAEA" w:rsidP="006E269D">
      <w:pPr>
        <w:ind w:left="852" w:hanging="284"/>
        <w:rPr>
          <w:color w:val="242424"/>
        </w:rPr>
      </w:pPr>
      <w:r>
        <w:rPr>
          <w:color w:val="242424"/>
          <w:shd w:val="clear" w:color="auto" w:fill="FFFFFF"/>
        </w:rPr>
        <w:t>b. </w:t>
      </w:r>
      <w:r w:rsidR="00657F9A">
        <w:rPr>
          <w:color w:val="242424"/>
          <w:shd w:val="clear" w:color="auto" w:fill="FFFFFF"/>
        </w:rPr>
        <w:tab/>
      </w:r>
      <w:r>
        <w:rPr>
          <w:color w:val="242424"/>
          <w:shd w:val="clear" w:color="auto" w:fill="FFFFFF"/>
        </w:rPr>
        <w:t xml:space="preserve">kröfu um sjálfstæða endurskoðunardeild eða sjálfstæða úttektaraðila til að framkvæma úttekt á og prófa </w:t>
      </w:r>
      <w:r w:rsidR="0CE9E1A8">
        <w:rPr>
          <w:color w:val="242424"/>
          <w:shd w:val="clear" w:color="auto" w:fill="FFFFFF"/>
        </w:rPr>
        <w:t>þá þætti</w:t>
      </w:r>
      <w:r>
        <w:rPr>
          <w:color w:val="242424"/>
          <w:shd w:val="clear" w:color="auto" w:fill="FFFFFF"/>
        </w:rPr>
        <w:t xml:space="preserve"> sem um getur í a-lið.</w:t>
      </w:r>
    </w:p>
    <w:p w14:paraId="44AFC915" w14:textId="6C21B2D7" w:rsidR="00F8731B" w:rsidRPr="00657F9A" w:rsidRDefault="01D1CAEA" w:rsidP="006E269D">
      <w:pPr>
        <w:ind w:left="284" w:firstLine="0"/>
        <w:rPr>
          <w:color w:val="242424"/>
          <w:shd w:val="clear" w:color="auto" w:fill="FFFFFF"/>
        </w:rPr>
      </w:pPr>
      <w:r>
        <w:rPr>
          <w:color w:val="242424"/>
          <w:shd w:val="clear" w:color="auto" w:fill="FFFFFF"/>
        </w:rPr>
        <w:lastRenderedPageBreak/>
        <w:t>Stefn</w:t>
      </w:r>
      <w:r w:rsidR="43A999E6">
        <w:rPr>
          <w:color w:val="242424"/>
          <w:shd w:val="clear" w:color="auto" w:fill="FFFFFF"/>
        </w:rPr>
        <w:t xml:space="preserve">a tilkynningarskylds aðila skal samþykkt af stjórn </w:t>
      </w:r>
      <w:r w:rsidR="070ADB31">
        <w:rPr>
          <w:color w:val="242424"/>
          <w:shd w:val="clear" w:color="auto" w:fill="FFFFFF"/>
        </w:rPr>
        <w:t>o</w:t>
      </w:r>
      <w:r w:rsidR="43A999E6">
        <w:rPr>
          <w:color w:val="242424"/>
          <w:shd w:val="clear" w:color="auto" w:fill="FFFFFF"/>
        </w:rPr>
        <w:t xml:space="preserve">g </w:t>
      </w:r>
      <w:r>
        <w:rPr>
          <w:color w:val="242424"/>
          <w:shd w:val="clear" w:color="auto" w:fill="FFFFFF"/>
        </w:rPr>
        <w:t>stýringar og verkferlar skulu</w:t>
      </w:r>
      <w:r w:rsidR="72822AF5" w:rsidRPr="47A4417F">
        <w:rPr>
          <w:color w:val="242424"/>
        </w:rPr>
        <w:t xml:space="preserve"> </w:t>
      </w:r>
      <w:r>
        <w:rPr>
          <w:color w:val="242424"/>
          <w:shd w:val="clear" w:color="auto" w:fill="FFFFFF"/>
        </w:rPr>
        <w:t>samþykkt af yfirstjórn</w:t>
      </w:r>
      <w:r w:rsidR="43A999E6">
        <w:rPr>
          <w:color w:val="242424"/>
          <w:shd w:val="clear" w:color="auto" w:fill="FFFFFF"/>
        </w:rPr>
        <w:t>. Yfirstjórn</w:t>
      </w:r>
      <w:r>
        <w:rPr>
          <w:color w:val="242424"/>
          <w:shd w:val="clear" w:color="auto" w:fill="FFFFFF"/>
        </w:rPr>
        <w:t xml:space="preserve"> skal hafa eftirlit með </w:t>
      </w:r>
      <w:r w:rsidR="7121CBFC">
        <w:rPr>
          <w:color w:val="242424"/>
          <w:shd w:val="clear" w:color="auto" w:fill="FFFFFF"/>
        </w:rPr>
        <w:t>framkvæmd</w:t>
      </w:r>
      <w:r w:rsidR="43A999E6">
        <w:rPr>
          <w:color w:val="242424"/>
          <w:shd w:val="clear" w:color="auto" w:fill="FFFFFF"/>
        </w:rPr>
        <w:t xml:space="preserve"> stefnu, stýringa og verkferla</w:t>
      </w:r>
      <w:r>
        <w:rPr>
          <w:color w:val="242424"/>
          <w:shd w:val="clear" w:color="auto" w:fill="FFFFFF"/>
        </w:rPr>
        <w:t xml:space="preserve"> og gefa fyrirmæli um auknar ráðstafanir þar sem við á.</w:t>
      </w:r>
    </w:p>
    <w:bookmarkEnd w:id="12"/>
    <w:p w14:paraId="70A359FF" w14:textId="77777777" w:rsidR="00F8731B" w:rsidRDefault="00F8731B" w:rsidP="0099689E">
      <w:pPr>
        <w:ind w:firstLine="0"/>
      </w:pPr>
    </w:p>
    <w:p w14:paraId="30BD66A1" w14:textId="6A3783E7" w:rsidR="0016197D" w:rsidRDefault="0016197D" w:rsidP="006E269D">
      <w:pPr>
        <w:jc w:val="center"/>
      </w:pPr>
      <w:bookmarkStart w:id="13" w:name="_Hlk83816296"/>
      <w:bookmarkEnd w:id="7"/>
      <w:r>
        <w:t>4</w:t>
      </w:r>
      <w:r w:rsidRPr="009A1DB7">
        <w:t>. gr.</w:t>
      </w:r>
    </w:p>
    <w:p w14:paraId="6ECC314C" w14:textId="782786DC" w:rsidR="0099689E" w:rsidRDefault="00EC2ECD" w:rsidP="0099689E">
      <w:r>
        <w:t>Í staflið a. í 8. gr. laganna fellur brott orðið „viðvarandi“. Þá bætast við</w:t>
      </w:r>
      <w:r w:rsidR="001A3851">
        <w:t xml:space="preserve"> </w:t>
      </w:r>
      <w:r w:rsidR="0099689E">
        <w:t>tveir nýir stafliðir, svohljóðandi:</w:t>
      </w:r>
    </w:p>
    <w:bookmarkEnd w:id="13"/>
    <w:p w14:paraId="274CA375" w14:textId="3B4E6F2F" w:rsidR="006E269D" w:rsidRDefault="0099689E" w:rsidP="00A81E57">
      <w:pPr>
        <w:ind w:left="852" w:hanging="284"/>
        <w:rPr>
          <w:color w:val="242424"/>
          <w:shd w:val="clear" w:color="auto" w:fill="FFFFFF"/>
        </w:rPr>
      </w:pPr>
      <w:r w:rsidRPr="0099689E">
        <w:rPr>
          <w:color w:val="242424"/>
          <w:shd w:val="clear" w:color="auto" w:fill="FFFFFF"/>
        </w:rPr>
        <w:t xml:space="preserve">h. </w:t>
      </w:r>
      <w:r>
        <w:rPr>
          <w:color w:val="242424"/>
          <w:shd w:val="clear" w:color="auto" w:fill="FFFFFF"/>
        </w:rPr>
        <w:tab/>
      </w:r>
      <w:r w:rsidR="006E269D" w:rsidRPr="0099689E">
        <w:rPr>
          <w:color w:val="242424"/>
          <w:shd w:val="clear" w:color="auto" w:fill="FFFFFF"/>
        </w:rPr>
        <w:t>vegna einstakra viðskipta með sýndareignir að fjárhæð 1.000 evrur eða meira miðað við opinbert viðmiðunargengi eins og það er skráð hverju sinni, hvort sem viðskiptin fara fram í einni færslu eða fleiri sem virðast tengjast hver annarri.</w:t>
      </w:r>
    </w:p>
    <w:p w14:paraId="3E258436" w14:textId="210B8CCB" w:rsidR="0099689E" w:rsidRPr="00FD1BD0" w:rsidRDefault="00FD1BD0" w:rsidP="00FD1BD0">
      <w:pPr>
        <w:ind w:left="852" w:hanging="284"/>
        <w:rPr>
          <w:color w:val="242424"/>
          <w:shd w:val="clear" w:color="auto" w:fill="FFFFFF"/>
        </w:rPr>
      </w:pPr>
      <w:r>
        <w:rPr>
          <w:color w:val="242424"/>
          <w:shd w:val="clear" w:color="auto" w:fill="FFFFFF"/>
        </w:rPr>
        <w:t>i</w:t>
      </w:r>
      <w:r w:rsidRPr="00FD1BD0">
        <w:rPr>
          <w:color w:val="242424"/>
          <w:shd w:val="clear" w:color="auto" w:fill="FFFFFF"/>
        </w:rPr>
        <w:t xml:space="preserve">. </w:t>
      </w:r>
      <w:r w:rsidRPr="00FD1BD0">
        <w:rPr>
          <w:color w:val="242424"/>
          <w:shd w:val="clear" w:color="auto" w:fill="FFFFFF"/>
        </w:rPr>
        <w:tab/>
      </w:r>
      <w:r w:rsidR="0099689E" w:rsidRPr="00FD1BD0">
        <w:rPr>
          <w:color w:val="242424"/>
          <w:shd w:val="clear" w:color="auto" w:fill="FFFFFF"/>
        </w:rPr>
        <w:t>við millifærslu sýndareigna, þegar um einstök viðskipti er að ræða, hvort sem um er að ræða færslu fjármuna innan lands eða yfir landamæri, að fjárhæð 1.000 evrur eða meira miðað við opinbert viðmiðunargengi eins og það er skráð hverju sinni</w:t>
      </w:r>
      <w:r w:rsidR="00E36023" w:rsidRPr="00FD1BD0">
        <w:rPr>
          <w:color w:val="242424"/>
          <w:shd w:val="clear" w:color="auto" w:fill="FFFFFF"/>
        </w:rPr>
        <w:t>.</w:t>
      </w:r>
    </w:p>
    <w:p w14:paraId="1E1C8693" w14:textId="77777777" w:rsidR="00771FE8" w:rsidRPr="00771FE8" w:rsidRDefault="00771FE8" w:rsidP="00771FE8">
      <w:pPr>
        <w:rPr>
          <w:color w:val="242424"/>
          <w:shd w:val="clear" w:color="auto" w:fill="FFFFFF"/>
        </w:rPr>
      </w:pPr>
    </w:p>
    <w:p w14:paraId="51DC5F9B" w14:textId="418A9449" w:rsidR="00EC2ECD" w:rsidRDefault="00EC2ECD" w:rsidP="00EC2ECD">
      <w:pPr>
        <w:jc w:val="center"/>
      </w:pPr>
      <w:r>
        <w:t>5</w:t>
      </w:r>
      <w:r w:rsidRPr="009A1DB7">
        <w:t>. gr.</w:t>
      </w:r>
    </w:p>
    <w:p w14:paraId="0E4C8FF6" w14:textId="5A320417" w:rsidR="00EC2ECD" w:rsidRDefault="00EC2ECD" w:rsidP="00EC2ECD">
      <w:r>
        <w:t>Við 1. mgr. 9. gr. laganna bætist nýr stafliður, svohljóðandi:</w:t>
      </w:r>
    </w:p>
    <w:p w14:paraId="4BD3C2BE" w14:textId="21B536DE" w:rsidR="00EC2ECD" w:rsidRDefault="00EC2ECD" w:rsidP="00EC2ECD">
      <w:r>
        <w:tab/>
        <w:t>f.</w:t>
      </w:r>
      <w:r>
        <w:tab/>
        <w:t xml:space="preserve">ekki er hægt að fjármagna greiðslumiðilinn með </w:t>
      </w:r>
      <w:r w:rsidR="00E238FE">
        <w:t xml:space="preserve">nafnlausum </w:t>
      </w:r>
      <w:proofErr w:type="spellStart"/>
      <w:r w:rsidR="00E238FE">
        <w:t>rafeyri</w:t>
      </w:r>
      <w:proofErr w:type="spellEnd"/>
      <w:r w:rsidR="00E238FE">
        <w:t>.</w:t>
      </w:r>
    </w:p>
    <w:p w14:paraId="0A6BFA30" w14:textId="5F1B66D2" w:rsidR="00680469" w:rsidRDefault="00680469" w:rsidP="00680469">
      <w:r>
        <w:t xml:space="preserve">Í 3. mgr. 9. gr. falla brott orðin „a- og </w:t>
      </w:r>
      <w:proofErr w:type="spellStart"/>
      <w:r>
        <w:t>b-lið</w:t>
      </w:r>
      <w:proofErr w:type="spellEnd"/>
      <w:r>
        <w:t>“</w:t>
      </w:r>
      <w:r w:rsidR="00896869">
        <w:t>.</w:t>
      </w:r>
    </w:p>
    <w:p w14:paraId="400694B3" w14:textId="77777777" w:rsidR="00680469" w:rsidRDefault="00680469" w:rsidP="00EC2ECD"/>
    <w:p w14:paraId="6C297594" w14:textId="07608CBC" w:rsidR="00501CA0" w:rsidRDefault="00EC2ECD" w:rsidP="00501CA0">
      <w:pPr>
        <w:jc w:val="center"/>
      </w:pPr>
      <w:r>
        <w:t>6</w:t>
      </w:r>
      <w:r w:rsidR="00501CA0" w:rsidRPr="009A1DB7">
        <w:t>. gr.</w:t>
      </w:r>
    </w:p>
    <w:p w14:paraId="509DE460" w14:textId="1E3B46F2" w:rsidR="00305A16" w:rsidRDefault="00305A16" w:rsidP="00305A16">
      <w:pPr>
        <w:ind w:left="567" w:hanging="360"/>
      </w:pPr>
      <w:r>
        <w:t>a.</w:t>
      </w:r>
      <w:r>
        <w:tab/>
      </w:r>
      <w:r w:rsidR="00FE2AB2">
        <w:t xml:space="preserve"> Í </w:t>
      </w:r>
      <w:r w:rsidR="001C20E5">
        <w:t>stað orðanna</w:t>
      </w:r>
      <w:r w:rsidR="00501CA0">
        <w:t xml:space="preserve"> „</w:t>
      </w:r>
      <w:proofErr w:type="spellStart"/>
      <w:r w:rsidR="00501CA0">
        <w:t>prókúruhafar</w:t>
      </w:r>
      <w:proofErr w:type="spellEnd"/>
      <w:r w:rsidR="00501CA0">
        <w:t xml:space="preserve"> og aðrir þeir sem hafa sérstaka heimild </w:t>
      </w:r>
      <w:r w:rsidR="000D236F">
        <w:t>til að koma fram fyrir hönd viðskip</w:t>
      </w:r>
      <w:r w:rsidR="00501CA0">
        <w:t>t</w:t>
      </w:r>
      <w:r w:rsidR="000D236F">
        <w:t>avinar</w:t>
      </w:r>
      <w:r w:rsidR="004360FB">
        <w:t xml:space="preserve"> skulu sanna á sér deili skv. a-lið</w:t>
      </w:r>
      <w:r w:rsidR="00501CA0">
        <w:t>“ í b</w:t>
      </w:r>
      <w:r w:rsidR="00EF61E0">
        <w:t xml:space="preserve"> </w:t>
      </w:r>
      <w:r w:rsidR="00EF61E0">
        <w:rPr>
          <w:color w:val="242424"/>
          <w:shd w:val="clear" w:color="auto" w:fill="FFFFFF"/>
        </w:rPr>
        <w:t xml:space="preserve">– </w:t>
      </w:r>
      <w:r w:rsidR="00501CA0">
        <w:t xml:space="preserve">lið </w:t>
      </w:r>
      <w:r w:rsidR="007B1CB4">
        <w:t xml:space="preserve">1. mgr. </w:t>
      </w:r>
      <w:r w:rsidR="00501CA0">
        <w:t xml:space="preserve">10. gr. kemur: </w:t>
      </w:r>
    </w:p>
    <w:p w14:paraId="691BC7D9" w14:textId="6690DDD2" w:rsidR="001D11EF" w:rsidRDefault="00D555EE" w:rsidP="001D11EF">
      <w:pPr>
        <w:pStyle w:val="Mlsgreinlista"/>
        <w:ind w:left="567" w:firstLine="0"/>
      </w:pPr>
      <w:r>
        <w:t>þeir sem koma fram fyrir hönd viðskiptamanns gagnvart tilkynningarskyld</w:t>
      </w:r>
      <w:r w:rsidR="00DE1C49">
        <w:t xml:space="preserve">um </w:t>
      </w:r>
      <w:r>
        <w:t>aðila</w:t>
      </w:r>
      <w:r w:rsidR="004360FB">
        <w:t xml:space="preserve"> skulu sýna fram á að þeir hafi til þess heimild og sanna á sér deili skv. a-lið</w:t>
      </w:r>
      <w:r w:rsidR="00EF727E">
        <w:t>.</w:t>
      </w:r>
      <w:r w:rsidDel="00D555EE">
        <w:t xml:space="preserve"> </w:t>
      </w:r>
    </w:p>
    <w:p w14:paraId="7BADC6B4" w14:textId="49100A26" w:rsidR="00305A16" w:rsidRDefault="001D11EF" w:rsidP="001D11EF">
      <w:pPr>
        <w:ind w:left="567" w:hanging="279"/>
      </w:pPr>
      <w:r>
        <w:t>b.</w:t>
      </w:r>
      <w:r>
        <w:tab/>
      </w:r>
      <w:r w:rsidR="000D236F">
        <w:t>Í stað orðanna „</w:t>
      </w:r>
      <w:r w:rsidR="00FA0306">
        <w:t xml:space="preserve">fyrir liggi fullnægjandi upplýsingar um raunverulegan eiganda </w:t>
      </w:r>
      <w:r w:rsidR="000D236F">
        <w:t>og hann hafi sannað á sér deili í samræmi við a-lið“</w:t>
      </w:r>
      <w:r w:rsidR="00F64560" w:rsidRPr="00F64560">
        <w:t xml:space="preserve"> </w:t>
      </w:r>
      <w:r w:rsidR="00F64560">
        <w:t>í e</w:t>
      </w:r>
      <w:r w:rsidR="00EF61E0">
        <w:t xml:space="preserve"> </w:t>
      </w:r>
      <w:r w:rsidR="00EF61E0" w:rsidRPr="001D11EF">
        <w:rPr>
          <w:color w:val="242424"/>
          <w:shd w:val="clear" w:color="auto" w:fill="FFFFFF"/>
        </w:rPr>
        <w:t xml:space="preserve">– </w:t>
      </w:r>
      <w:r w:rsidR="00F64560">
        <w:t xml:space="preserve">lið </w:t>
      </w:r>
      <w:r w:rsidR="007B1CB4">
        <w:t xml:space="preserve">1. mgr. </w:t>
      </w:r>
      <w:r w:rsidR="00F64560">
        <w:t>10. gr. kemur</w:t>
      </w:r>
      <w:r w:rsidR="000D236F">
        <w:t xml:space="preserve">: </w:t>
      </w:r>
    </w:p>
    <w:p w14:paraId="4EE6EF5A" w14:textId="50652ED1" w:rsidR="00FA0306" w:rsidRDefault="39472437" w:rsidP="001D11EF">
      <w:pPr>
        <w:ind w:left="568" w:firstLine="0"/>
      </w:pPr>
      <w:r>
        <w:t xml:space="preserve">að </w:t>
      </w:r>
      <w:r w:rsidR="79F60619">
        <w:t xml:space="preserve">veittar hafi verið </w:t>
      </w:r>
      <w:r>
        <w:t xml:space="preserve">fullnægjandi upplýsingar </w:t>
      </w:r>
      <w:r w:rsidR="79F60619">
        <w:t xml:space="preserve">um </w:t>
      </w:r>
      <w:r>
        <w:t>raunverulegan eiganda og</w:t>
      </w:r>
      <w:r w:rsidR="79F60619">
        <w:t xml:space="preserve"> þær</w:t>
      </w:r>
      <w:r>
        <w:t xml:space="preserve"> upplýsingar h</w:t>
      </w:r>
      <w:r w:rsidR="2524F009">
        <w:t xml:space="preserve">afi verið </w:t>
      </w:r>
      <w:r w:rsidR="201F405C">
        <w:t>sannreyndar.</w:t>
      </w:r>
    </w:p>
    <w:p w14:paraId="0F283FC2" w14:textId="147A5695" w:rsidR="00DE6582" w:rsidRDefault="00DE6582" w:rsidP="000B689F">
      <w:pPr>
        <w:pStyle w:val="Mlsgreinlista"/>
        <w:numPr>
          <w:ilvl w:val="0"/>
          <w:numId w:val="11"/>
        </w:numPr>
      </w:pPr>
      <w:r>
        <w:t xml:space="preserve">6. mgr. 10. gr. fellur brott. </w:t>
      </w:r>
    </w:p>
    <w:p w14:paraId="4375B0CE" w14:textId="77777777" w:rsidR="004360FB" w:rsidRDefault="004360FB" w:rsidP="00F64560">
      <w:pPr>
        <w:jc w:val="center"/>
      </w:pPr>
    </w:p>
    <w:p w14:paraId="2F118DAC" w14:textId="44F3DF58" w:rsidR="00F64560" w:rsidRPr="001D11EF" w:rsidRDefault="00EC2ECD" w:rsidP="00F64560">
      <w:pPr>
        <w:jc w:val="center"/>
      </w:pPr>
      <w:r w:rsidRPr="001D11EF">
        <w:t>7</w:t>
      </w:r>
      <w:r w:rsidR="00F64560" w:rsidRPr="001D11EF">
        <w:t>. gr.</w:t>
      </w:r>
    </w:p>
    <w:p w14:paraId="01AA06DD" w14:textId="0C7757FC" w:rsidR="00F64560" w:rsidRPr="001D11EF" w:rsidRDefault="00F64560" w:rsidP="00305A16">
      <w:pPr>
        <w:pStyle w:val="Mlsgreinlista"/>
        <w:ind w:left="567" w:firstLine="0"/>
      </w:pPr>
      <w:r w:rsidRPr="001D11EF">
        <w:t xml:space="preserve">Í stað setningarinnar </w:t>
      </w:r>
      <w:r w:rsidR="00594A6C">
        <w:t>„</w:t>
      </w:r>
      <w:r w:rsidRPr="001D11EF">
        <w:t>Viðskiptamaður og raunverulegur eigandi skulu í slíkum tilvikum sanna á sér deili eins fljótt og því verður komið við.“ í 1. mgr. 11. gr kemur:</w:t>
      </w:r>
    </w:p>
    <w:p w14:paraId="5FDBA4DE" w14:textId="6EFB731A" w:rsidR="00F64560" w:rsidRDefault="00622D21" w:rsidP="00305A16">
      <w:pPr>
        <w:pStyle w:val="Mlsgreinlista"/>
        <w:ind w:left="567" w:firstLine="0"/>
      </w:pPr>
      <w:r w:rsidRPr="001D11EF">
        <w:t xml:space="preserve">Í slíkum tilvikum skulu upplýsingar </w:t>
      </w:r>
      <w:r w:rsidR="002D3317">
        <w:t>samkvæmt 1. mgr.</w:t>
      </w:r>
      <w:r w:rsidR="001D11EF" w:rsidRPr="001D11EF">
        <w:t xml:space="preserve"> 10. gr.</w:t>
      </w:r>
      <w:r w:rsidR="002D3317">
        <w:t xml:space="preserve"> sannreyndar</w:t>
      </w:r>
      <w:r w:rsidR="001D11EF" w:rsidRPr="001D11EF">
        <w:t xml:space="preserve"> </w:t>
      </w:r>
      <w:r w:rsidRPr="001D11EF">
        <w:t>eins fljótt og því verður komið við</w:t>
      </w:r>
      <w:r w:rsidR="00074017" w:rsidRPr="001D11EF">
        <w:t>.</w:t>
      </w:r>
      <w:r w:rsidR="00074017">
        <w:t xml:space="preserve"> </w:t>
      </w:r>
      <w:r w:rsidR="00F64560">
        <w:t xml:space="preserve"> </w:t>
      </w:r>
    </w:p>
    <w:p w14:paraId="73BB5D3F" w14:textId="77777777" w:rsidR="00E02B2B" w:rsidRDefault="00E02B2B" w:rsidP="00DF733B">
      <w:pPr>
        <w:ind w:firstLine="0"/>
      </w:pPr>
    </w:p>
    <w:p w14:paraId="422791C6" w14:textId="0B501C33" w:rsidR="006E269D" w:rsidRPr="008D3733" w:rsidRDefault="00EC2ECD" w:rsidP="00E36023">
      <w:pPr>
        <w:jc w:val="center"/>
      </w:pPr>
      <w:r w:rsidRPr="008D3733">
        <w:t>8</w:t>
      </w:r>
      <w:r w:rsidR="00E36023" w:rsidRPr="008D3733">
        <w:t>. gr.</w:t>
      </w:r>
    </w:p>
    <w:p w14:paraId="01BB1869" w14:textId="0116A13C" w:rsidR="00DE1C49" w:rsidRPr="008D3733" w:rsidRDefault="00DE1C49" w:rsidP="002B36A8">
      <w:pPr>
        <w:pStyle w:val="Mlsgreinlista"/>
        <w:numPr>
          <w:ilvl w:val="0"/>
          <w:numId w:val="12"/>
        </w:numPr>
      </w:pPr>
      <w:bookmarkStart w:id="14" w:name="_Hlk86849160"/>
      <w:r w:rsidRPr="008D3733">
        <w:t xml:space="preserve">1. mgr. </w:t>
      </w:r>
      <w:r w:rsidR="00E718FC" w:rsidRPr="008D3733">
        <w:t>13</w:t>
      </w:r>
      <w:r w:rsidRPr="008D3733">
        <w:t>. gr. laganna orðast svo:</w:t>
      </w:r>
    </w:p>
    <w:p w14:paraId="6351F944" w14:textId="51B91E4E" w:rsidR="00E718FC" w:rsidRPr="008D3733" w:rsidRDefault="00E718FC" w:rsidP="00E718FC">
      <w:pPr>
        <w:pStyle w:val="Mlsgreinlista"/>
        <w:ind w:firstLine="0"/>
        <w:jc w:val="left"/>
        <w:rPr>
          <w:color w:val="242424"/>
          <w:shd w:val="clear" w:color="auto" w:fill="FFFFFF"/>
        </w:rPr>
      </w:pPr>
      <w:r w:rsidRPr="008D3733">
        <w:rPr>
          <w:color w:val="242424"/>
          <w:shd w:val="clear" w:color="auto" w:fill="FFFFFF"/>
        </w:rPr>
        <w:t>Tilkynningarskyldir aðilar skulu beita aukinni áreiðanleikakönnun þegar um er að ræða:</w:t>
      </w:r>
    </w:p>
    <w:p w14:paraId="66F40382" w14:textId="57596308" w:rsidR="002D579E" w:rsidRDefault="30EEBC9A" w:rsidP="00765996">
      <w:pPr>
        <w:pStyle w:val="Mlsgreinlista"/>
        <w:numPr>
          <w:ilvl w:val="1"/>
          <w:numId w:val="12"/>
        </w:numPr>
        <w:jc w:val="left"/>
        <w:rPr>
          <w:color w:val="242424"/>
        </w:rPr>
      </w:pPr>
      <w:r w:rsidRPr="008D3733">
        <w:rPr>
          <w:color w:val="242424"/>
        </w:rPr>
        <w:t xml:space="preserve">viðskipti við einstaklinga, lögaðila, fjárvörslusjóði eða sambærilega aðila </w:t>
      </w:r>
      <w:r w:rsidR="79A7986F" w:rsidRPr="008D3733">
        <w:rPr>
          <w:color w:val="242424"/>
        </w:rPr>
        <w:t xml:space="preserve">sem </w:t>
      </w:r>
      <w:r w:rsidRPr="008D3733">
        <w:rPr>
          <w:color w:val="242424"/>
        </w:rPr>
        <w:t>tengist áhættusömu eða ósamvinnuþýðu ríki, sbr. 14. gr.,</w:t>
      </w:r>
    </w:p>
    <w:p w14:paraId="51CCD403" w14:textId="0821722A" w:rsidR="002D579E" w:rsidRDefault="002D579E" w:rsidP="00765996">
      <w:pPr>
        <w:pStyle w:val="Mlsgreinlista"/>
        <w:numPr>
          <w:ilvl w:val="1"/>
          <w:numId w:val="12"/>
        </w:numPr>
        <w:jc w:val="left"/>
        <w:rPr>
          <w:color w:val="242424"/>
        </w:rPr>
      </w:pPr>
      <w:r w:rsidRPr="00765996">
        <w:rPr>
          <w:color w:val="242424"/>
        </w:rPr>
        <w:t>tilvik skv. 15. – 17. gr., eða</w:t>
      </w:r>
    </w:p>
    <w:p w14:paraId="56B5F328" w14:textId="033EB23A" w:rsidR="00D16253" w:rsidRDefault="00361E27" w:rsidP="00765996">
      <w:pPr>
        <w:pStyle w:val="Mlsgreinlista"/>
        <w:numPr>
          <w:ilvl w:val="1"/>
          <w:numId w:val="12"/>
        </w:numPr>
        <w:jc w:val="left"/>
        <w:rPr>
          <w:color w:val="242424"/>
        </w:rPr>
      </w:pPr>
      <w:r w:rsidRPr="00765996">
        <w:rPr>
          <w:color w:val="242424"/>
        </w:rPr>
        <w:t xml:space="preserve">önnur tilvik en skv. a.- eða b. lið þegar áhættumat tilkynningarskylds aðila gefur til kynna </w:t>
      </w:r>
      <w:r w:rsidR="009A3A87" w:rsidRPr="00765996">
        <w:rPr>
          <w:color w:val="242424"/>
        </w:rPr>
        <w:t xml:space="preserve">meiri </w:t>
      </w:r>
      <w:r w:rsidRPr="00765996">
        <w:rPr>
          <w:color w:val="242424"/>
        </w:rPr>
        <w:t>áhættu</w:t>
      </w:r>
      <w:r w:rsidR="00765996">
        <w:rPr>
          <w:color w:val="242424"/>
        </w:rPr>
        <w:t>, eða</w:t>
      </w:r>
    </w:p>
    <w:p w14:paraId="66CD60A6" w14:textId="4518665D" w:rsidR="00E718FC" w:rsidRPr="00765996" w:rsidRDefault="00D16253" w:rsidP="00765996">
      <w:pPr>
        <w:pStyle w:val="Mlsgreinlista"/>
        <w:numPr>
          <w:ilvl w:val="1"/>
          <w:numId w:val="12"/>
        </w:numPr>
        <w:jc w:val="left"/>
        <w:rPr>
          <w:color w:val="242424"/>
        </w:rPr>
      </w:pPr>
      <w:r w:rsidRPr="00765996">
        <w:rPr>
          <w:color w:val="242424"/>
        </w:rPr>
        <w:t xml:space="preserve">tilvik þar sem áhætta telst að öðru leyti </w:t>
      </w:r>
      <w:r w:rsidR="009A3A87" w:rsidRPr="00765996">
        <w:rPr>
          <w:color w:val="242424"/>
        </w:rPr>
        <w:t>meiri</w:t>
      </w:r>
      <w:r w:rsidRPr="00765996">
        <w:rPr>
          <w:color w:val="242424"/>
        </w:rPr>
        <w:t>.</w:t>
      </w:r>
      <w:r w:rsidR="009A3A87" w:rsidRPr="00765996" w:rsidDel="009A3A87">
        <w:rPr>
          <w:color w:val="242424"/>
        </w:rPr>
        <w:t xml:space="preserve"> </w:t>
      </w:r>
      <w:bookmarkEnd w:id="14"/>
    </w:p>
    <w:p w14:paraId="3B56C5B9" w14:textId="71A62CE0" w:rsidR="00E36023" w:rsidRPr="008D3733" w:rsidRDefault="00D16253" w:rsidP="002B36A8">
      <w:pPr>
        <w:pStyle w:val="Mlsgreinlista"/>
        <w:numPr>
          <w:ilvl w:val="0"/>
          <w:numId w:val="12"/>
        </w:numPr>
      </w:pPr>
      <w:r w:rsidRPr="008D3733">
        <w:lastRenderedPageBreak/>
        <w:t xml:space="preserve">2. mgr. 13. gr. verður að 5. mgr. 13. gr. </w:t>
      </w:r>
      <w:r w:rsidR="00E36023" w:rsidRPr="008D3733">
        <w:t>Ný málsgrein kemur í stað 2. mgr. 13. gr., svohljóðandi:</w:t>
      </w:r>
    </w:p>
    <w:p w14:paraId="61C009EE" w14:textId="5DA86511" w:rsidR="00E36023" w:rsidRPr="008D3733" w:rsidRDefault="00E36023" w:rsidP="00D10560">
      <w:pPr>
        <w:pStyle w:val="Mlsgreinlista"/>
        <w:ind w:firstLine="0"/>
        <w:rPr>
          <w:color w:val="242424"/>
          <w:shd w:val="clear" w:color="auto" w:fill="FFFFFF"/>
        </w:rPr>
      </w:pPr>
      <w:r w:rsidRPr="008D3733">
        <w:rPr>
          <w:color w:val="242424"/>
          <w:shd w:val="clear" w:color="auto" w:fill="FFFFFF"/>
        </w:rPr>
        <w:t xml:space="preserve">Aukin áreiðanleikakönnun felst í því að afla aukinna upplýsinga, gera auknar kröfur til gæða þeirra upplýsinga sem er aflað og að framkvæma aukið eftirlit til að ganga úr skugga um að áhættu, sem tengist einstökum </w:t>
      </w:r>
      <w:r w:rsidR="00615057" w:rsidRPr="008D3733">
        <w:rPr>
          <w:color w:val="242424"/>
          <w:shd w:val="clear" w:color="auto" w:fill="FFFFFF"/>
        </w:rPr>
        <w:t xml:space="preserve">viðskiptum eða </w:t>
      </w:r>
      <w:r w:rsidRPr="008D3733">
        <w:rPr>
          <w:color w:val="242424"/>
          <w:shd w:val="clear" w:color="auto" w:fill="FFFFFF"/>
        </w:rPr>
        <w:t>samningssamböndum sé stýrt, eða niðurstaða fengin um að áhættan sé ekki lengur í samræmi við áhættuvilja tilkynningarskylds aðila.</w:t>
      </w:r>
    </w:p>
    <w:p w14:paraId="2906AB7F" w14:textId="7FEDEB05" w:rsidR="00DF733B" w:rsidRPr="008D3733" w:rsidRDefault="00DF733B" w:rsidP="00D10560">
      <w:pPr>
        <w:pStyle w:val="Mlsgreinlista"/>
        <w:ind w:firstLine="0"/>
        <w:rPr>
          <w:color w:val="242424"/>
          <w:shd w:val="clear" w:color="auto" w:fill="FFFFFF"/>
        </w:rPr>
      </w:pPr>
    </w:p>
    <w:p w14:paraId="7DD3E18B" w14:textId="054C8E8C" w:rsidR="001E4876" w:rsidRPr="008D3733" w:rsidRDefault="00EC2ECD" w:rsidP="001E4876">
      <w:pPr>
        <w:jc w:val="center"/>
      </w:pPr>
      <w:bookmarkStart w:id="15" w:name="_Hlk86849194"/>
      <w:r w:rsidRPr="008D3733">
        <w:t>9</w:t>
      </w:r>
      <w:r w:rsidR="001E4876" w:rsidRPr="008D3733">
        <w:t>. gr.</w:t>
      </w:r>
    </w:p>
    <w:p w14:paraId="5A9EF14D" w14:textId="5F07073E" w:rsidR="00E25646" w:rsidRDefault="001E503E" w:rsidP="001A3851">
      <w:pPr>
        <w:ind w:firstLine="0"/>
        <w:rPr>
          <w:color w:val="242424"/>
          <w:shd w:val="clear" w:color="auto" w:fill="FFFFFF"/>
        </w:rPr>
      </w:pPr>
      <w:r w:rsidRPr="008D3733">
        <w:t xml:space="preserve">Í stað orðanna </w:t>
      </w:r>
      <w:r w:rsidR="001E4876" w:rsidRPr="008D3733">
        <w:t>„við einstakling, lögaðila, fjárvörslusjóði eða aðra sambærilega aðila sem eru búsettir eða með staðfestu</w:t>
      </w:r>
      <w:r w:rsidRPr="008D3733">
        <w:t xml:space="preserve"> í</w:t>
      </w:r>
      <w:r w:rsidR="001E4876" w:rsidRPr="008D3733">
        <w:t xml:space="preserve">“ </w:t>
      </w:r>
      <w:r w:rsidRPr="008D3733">
        <w:t>í</w:t>
      </w:r>
      <w:r w:rsidR="001E4876" w:rsidRPr="008D3733">
        <w:t xml:space="preserve"> 1. mgr. 14. gr</w:t>
      </w:r>
      <w:r w:rsidRPr="008D3733">
        <w:t xml:space="preserve"> kemur:</w:t>
      </w:r>
      <w:r w:rsidR="00834139" w:rsidRPr="008D3733">
        <w:t xml:space="preserve"> </w:t>
      </w:r>
      <w:r w:rsidR="002F5895" w:rsidRPr="008D3733">
        <w:t>sem tengist</w:t>
      </w:r>
      <w:r w:rsidR="00834139" w:rsidRPr="008D3733">
        <w:t>.</w:t>
      </w:r>
      <w:bookmarkEnd w:id="15"/>
    </w:p>
    <w:p w14:paraId="0B8754CD" w14:textId="77777777" w:rsidR="00615057" w:rsidRDefault="00615057" w:rsidP="001A3851">
      <w:pPr>
        <w:ind w:firstLine="0"/>
        <w:rPr>
          <w:color w:val="242424"/>
          <w:shd w:val="clear" w:color="auto" w:fill="FFFFFF"/>
        </w:rPr>
      </w:pPr>
    </w:p>
    <w:p w14:paraId="1765FD0F" w14:textId="75114401" w:rsidR="00EA25EB" w:rsidRPr="00E36023" w:rsidRDefault="00EA25EB" w:rsidP="00EA25EB">
      <w:pPr>
        <w:jc w:val="center"/>
      </w:pPr>
      <w:r>
        <w:t>1</w:t>
      </w:r>
      <w:r w:rsidR="00196239">
        <w:t>0</w:t>
      </w:r>
      <w:r w:rsidRPr="009A1DB7">
        <w:t>. gr.</w:t>
      </w:r>
    </w:p>
    <w:p w14:paraId="40217892" w14:textId="70E1E47E" w:rsidR="00EA25EB" w:rsidRPr="00EF727E" w:rsidRDefault="00EA25EB" w:rsidP="001A3851">
      <w:pPr>
        <w:ind w:firstLine="0"/>
        <w:rPr>
          <w:color w:val="242424"/>
          <w:shd w:val="clear" w:color="auto" w:fill="FFFFFF"/>
        </w:rPr>
      </w:pPr>
      <w:r w:rsidRPr="00DF733B">
        <w:rPr>
          <w:color w:val="242424"/>
          <w:shd w:val="clear" w:color="auto" w:fill="FFFFFF"/>
        </w:rPr>
        <w:t xml:space="preserve">Í stað </w:t>
      </w:r>
      <w:r>
        <w:rPr>
          <w:color w:val="242424"/>
          <w:shd w:val="clear" w:color="auto" w:fill="FFFFFF"/>
        </w:rPr>
        <w:t xml:space="preserve">orðsins </w:t>
      </w:r>
      <w:r w:rsidRPr="00DF733B">
        <w:rPr>
          <w:color w:val="242424"/>
          <w:shd w:val="clear" w:color="auto" w:fill="FFFFFF"/>
        </w:rPr>
        <w:t>„</w:t>
      </w:r>
      <w:r>
        <w:rPr>
          <w:color w:val="242424"/>
          <w:shd w:val="clear" w:color="auto" w:fill="FFFFFF"/>
        </w:rPr>
        <w:t>byggist“</w:t>
      </w:r>
      <w:r w:rsidRPr="00DF733B">
        <w:rPr>
          <w:color w:val="242424"/>
          <w:shd w:val="clear" w:color="auto" w:fill="FFFFFF"/>
        </w:rPr>
        <w:t xml:space="preserve"> í </w:t>
      </w:r>
      <w:r>
        <w:rPr>
          <w:color w:val="242424"/>
          <w:shd w:val="clear" w:color="auto" w:fill="FFFFFF"/>
        </w:rPr>
        <w:t>3</w:t>
      </w:r>
      <w:r w:rsidRPr="00DF733B">
        <w:rPr>
          <w:color w:val="242424"/>
          <w:shd w:val="clear" w:color="auto" w:fill="FFFFFF"/>
        </w:rPr>
        <w:t>. mgr. 1</w:t>
      </w:r>
      <w:r>
        <w:rPr>
          <w:color w:val="242424"/>
          <w:shd w:val="clear" w:color="auto" w:fill="FFFFFF"/>
        </w:rPr>
        <w:t>8</w:t>
      </w:r>
      <w:r w:rsidRPr="00DF733B">
        <w:rPr>
          <w:color w:val="242424"/>
          <w:shd w:val="clear" w:color="auto" w:fill="FFFFFF"/>
        </w:rPr>
        <w:t>. gr. kemur:</w:t>
      </w:r>
      <w:r>
        <w:rPr>
          <w:color w:val="242424"/>
          <w:shd w:val="clear" w:color="auto" w:fill="FFFFFF"/>
        </w:rPr>
        <w:t xml:space="preserve"> byggir.</w:t>
      </w:r>
    </w:p>
    <w:p w14:paraId="4EF75567" w14:textId="4132BA00" w:rsidR="00771DC5" w:rsidRPr="001A3851" w:rsidRDefault="00771DC5" w:rsidP="001A3851">
      <w:pPr>
        <w:ind w:firstLine="0"/>
        <w:rPr>
          <w:color w:val="242424"/>
          <w:shd w:val="clear" w:color="auto" w:fill="FFFFFF"/>
        </w:rPr>
      </w:pPr>
    </w:p>
    <w:p w14:paraId="549CBE0D" w14:textId="2A302EFE" w:rsidR="00E238FE" w:rsidRPr="00E36023" w:rsidRDefault="00E238FE" w:rsidP="00E238FE">
      <w:pPr>
        <w:jc w:val="center"/>
      </w:pPr>
      <w:r>
        <w:t>1</w:t>
      </w:r>
      <w:r w:rsidR="00196239">
        <w:t>1</w:t>
      </w:r>
      <w:r w:rsidRPr="009A1DB7">
        <w:t>. gr.</w:t>
      </w:r>
    </w:p>
    <w:p w14:paraId="7030697F" w14:textId="5DD0DE41" w:rsidR="000868CB" w:rsidRPr="000868CB" w:rsidRDefault="000868CB" w:rsidP="000868CB">
      <w:pPr>
        <w:ind w:firstLine="0"/>
        <w:rPr>
          <w:color w:val="242424"/>
          <w:shd w:val="clear" w:color="auto" w:fill="FFFFFF"/>
        </w:rPr>
      </w:pPr>
      <w:r w:rsidRPr="000868CB">
        <w:rPr>
          <w:color w:val="242424"/>
          <w:shd w:val="clear" w:color="auto" w:fill="FFFFFF"/>
        </w:rPr>
        <w:t>Eftirfarandi breytingar verða á 2</w:t>
      </w:r>
      <w:r>
        <w:rPr>
          <w:color w:val="242424"/>
          <w:shd w:val="clear" w:color="auto" w:fill="FFFFFF"/>
        </w:rPr>
        <w:t>7</w:t>
      </w:r>
      <w:r w:rsidRPr="000868CB">
        <w:rPr>
          <w:color w:val="242424"/>
          <w:shd w:val="clear" w:color="auto" w:fill="FFFFFF"/>
        </w:rPr>
        <w:t>. gr. laganna:</w:t>
      </w:r>
    </w:p>
    <w:p w14:paraId="0FFB9BDA" w14:textId="6B6FD606" w:rsidR="00BD7326" w:rsidRDefault="000868CB" w:rsidP="000868CB">
      <w:pPr>
        <w:ind w:left="284" w:hanging="284"/>
        <w:rPr>
          <w:color w:val="242424"/>
          <w:shd w:val="clear" w:color="auto" w:fill="FFFFFF"/>
        </w:rPr>
      </w:pPr>
      <w:r w:rsidRPr="000868CB">
        <w:rPr>
          <w:color w:val="242424"/>
          <w:shd w:val="clear" w:color="auto" w:fill="FFFFFF"/>
        </w:rPr>
        <w:t>a.</w:t>
      </w:r>
      <w:r w:rsidRPr="000868CB">
        <w:rPr>
          <w:color w:val="242424"/>
          <w:shd w:val="clear" w:color="auto" w:fill="FFFFFF"/>
        </w:rPr>
        <w:tab/>
      </w:r>
      <w:r>
        <w:rPr>
          <w:color w:val="242424"/>
          <w:shd w:val="clear" w:color="auto" w:fill="FFFFFF"/>
        </w:rPr>
        <w:t>c. l</w:t>
      </w:r>
      <w:r w:rsidRPr="000868CB">
        <w:rPr>
          <w:color w:val="242424"/>
          <w:shd w:val="clear" w:color="auto" w:fill="FFFFFF"/>
        </w:rPr>
        <w:t xml:space="preserve">iður </w:t>
      </w:r>
      <w:r>
        <w:rPr>
          <w:color w:val="242424"/>
          <w:shd w:val="clear" w:color="auto" w:fill="FFFFFF"/>
        </w:rPr>
        <w:t>3</w:t>
      </w:r>
      <w:r w:rsidRPr="000868CB">
        <w:rPr>
          <w:color w:val="242424"/>
          <w:shd w:val="clear" w:color="auto" w:fill="FFFFFF"/>
        </w:rPr>
        <w:t xml:space="preserve">. mgr. orðast svo: </w:t>
      </w:r>
      <w:r>
        <w:rPr>
          <w:color w:val="242424"/>
          <w:shd w:val="clear" w:color="auto" w:fill="FFFFFF"/>
        </w:rPr>
        <w:t>m</w:t>
      </w:r>
      <w:r w:rsidR="00555943">
        <w:rPr>
          <w:color w:val="242424"/>
          <w:shd w:val="clear" w:color="auto" w:fill="FFFFFF"/>
        </w:rPr>
        <w:t xml:space="preserve">illi aðila sem nefndir eru í l- og </w:t>
      </w:r>
      <w:proofErr w:type="spellStart"/>
      <w:r w:rsidR="00555943">
        <w:rPr>
          <w:color w:val="242424"/>
          <w:shd w:val="clear" w:color="auto" w:fill="FFFFFF"/>
        </w:rPr>
        <w:t>m-lið</w:t>
      </w:r>
      <w:proofErr w:type="spellEnd"/>
      <w:r w:rsidR="00555943">
        <w:rPr>
          <w:color w:val="242424"/>
          <w:shd w:val="clear" w:color="auto" w:fill="FFFFFF"/>
        </w:rPr>
        <w:t xml:space="preserve"> 1. mgr. 2. gr., eða aðila frá þriðju ríkjum sem gera sambærilegar kröfur og gerðar eru í lögum þessum, og sinna starfi sínu hjá sama lögaðila eða </w:t>
      </w:r>
      <w:r w:rsidR="00A32D70">
        <w:rPr>
          <w:color w:val="242424"/>
          <w:shd w:val="clear" w:color="auto" w:fill="FFFFFF"/>
        </w:rPr>
        <w:t xml:space="preserve">tengdum </w:t>
      </w:r>
      <w:r w:rsidR="0047536F">
        <w:rPr>
          <w:color w:val="242424"/>
          <w:shd w:val="clear" w:color="auto" w:fill="FFFFFF"/>
        </w:rPr>
        <w:t xml:space="preserve">lögaðila sem deilir eignarhaldi, stjórnun eða </w:t>
      </w:r>
      <w:r w:rsidR="00555943">
        <w:rPr>
          <w:color w:val="242424"/>
          <w:shd w:val="clear" w:color="auto" w:fill="FFFFFF"/>
        </w:rPr>
        <w:t>sama neti fyrirtækja,</w:t>
      </w:r>
    </w:p>
    <w:p w14:paraId="55EBE8B9" w14:textId="46629553" w:rsidR="000868CB" w:rsidRPr="00EF727E" w:rsidRDefault="000868CB" w:rsidP="00EF727E">
      <w:pPr>
        <w:ind w:left="284" w:hanging="284"/>
        <w:rPr>
          <w:color w:val="242424"/>
          <w:shd w:val="clear" w:color="auto" w:fill="FFFFFF"/>
        </w:rPr>
      </w:pPr>
      <w:r>
        <w:rPr>
          <w:color w:val="242424"/>
          <w:shd w:val="clear" w:color="auto" w:fill="FFFFFF"/>
        </w:rPr>
        <w:t>b.</w:t>
      </w:r>
      <w:r>
        <w:rPr>
          <w:color w:val="242424"/>
          <w:shd w:val="clear" w:color="auto" w:fill="FFFFFF"/>
        </w:rPr>
        <w:tab/>
      </w:r>
      <w:r w:rsidR="00981601">
        <w:rPr>
          <w:color w:val="242424"/>
          <w:shd w:val="clear" w:color="auto" w:fill="FFFFFF"/>
        </w:rPr>
        <w:t xml:space="preserve">1. töluliður d. liðar 3. mgr. orðast svo: að báðir aðilar tilheyri sömu starfsgrein og eru frá aðildarríki eða þriðja ríki sem gerir sambærilegar kröfur og gerðar eru í lögum þessum,  </w:t>
      </w:r>
    </w:p>
    <w:p w14:paraId="61E1C851" w14:textId="2DCEA99D" w:rsidR="00963A76" w:rsidRDefault="00963A76" w:rsidP="00FA5891">
      <w:pPr>
        <w:jc w:val="center"/>
      </w:pPr>
    </w:p>
    <w:p w14:paraId="1C6E677D" w14:textId="168A2E3B" w:rsidR="00FA5891" w:rsidRDefault="00EC2ECD" w:rsidP="00FA5891">
      <w:pPr>
        <w:jc w:val="center"/>
      </w:pPr>
      <w:r w:rsidRPr="008D3733">
        <w:t>1</w:t>
      </w:r>
      <w:r w:rsidR="00132231" w:rsidRPr="008D3733">
        <w:t>2</w:t>
      </w:r>
      <w:r w:rsidR="00FA5891" w:rsidRPr="008D3733">
        <w:t>. gr.</w:t>
      </w:r>
    </w:p>
    <w:p w14:paraId="346A5923" w14:textId="12873411" w:rsidR="00FA5891" w:rsidRDefault="00FA5891" w:rsidP="00FA5891">
      <w:pPr>
        <w:ind w:firstLine="0"/>
        <w:rPr>
          <w:color w:val="242424"/>
          <w:shd w:val="clear" w:color="auto" w:fill="FFFFFF"/>
        </w:rPr>
      </w:pPr>
      <w:r>
        <w:rPr>
          <w:color w:val="242424"/>
          <w:shd w:val="clear" w:color="auto" w:fill="FFFFFF"/>
        </w:rPr>
        <w:t>Orðin „umboðsmenn, dreifingaraðilar“ skulu falla brott úr 1. mgr. 33. gr.</w:t>
      </w:r>
    </w:p>
    <w:p w14:paraId="30077617" w14:textId="77777777" w:rsidR="00D87ABA" w:rsidRPr="00FA5891" w:rsidRDefault="00D87ABA" w:rsidP="00FA5891">
      <w:pPr>
        <w:ind w:firstLine="0"/>
        <w:rPr>
          <w:color w:val="242424"/>
          <w:shd w:val="clear" w:color="auto" w:fill="FFFFFF"/>
        </w:rPr>
      </w:pPr>
    </w:p>
    <w:p w14:paraId="78E3893A" w14:textId="7D9AFBFF" w:rsidR="003740C3" w:rsidRPr="003740C3" w:rsidRDefault="00EC2ECD" w:rsidP="003740C3">
      <w:pPr>
        <w:jc w:val="center"/>
      </w:pPr>
      <w:r>
        <w:t>1</w:t>
      </w:r>
      <w:r w:rsidR="00132231">
        <w:t>3</w:t>
      </w:r>
      <w:r w:rsidR="003740C3" w:rsidRPr="009A1DB7">
        <w:t>. gr.</w:t>
      </w:r>
    </w:p>
    <w:p w14:paraId="076F9132" w14:textId="081EC6EE" w:rsidR="004B43D6" w:rsidRDefault="00D1376C" w:rsidP="00C05DFC">
      <w:pPr>
        <w:ind w:firstLine="0"/>
        <w:rPr>
          <w:color w:val="242424"/>
          <w:szCs w:val="21"/>
          <w:shd w:val="clear" w:color="auto" w:fill="FFFFFF"/>
        </w:rPr>
      </w:pPr>
      <w:r>
        <w:rPr>
          <w:color w:val="242424"/>
          <w:szCs w:val="21"/>
          <w:shd w:val="clear" w:color="auto" w:fill="FFFFFF"/>
        </w:rPr>
        <w:t>Í stað orð</w:t>
      </w:r>
      <w:r w:rsidR="002915A0">
        <w:rPr>
          <w:color w:val="242424"/>
          <w:szCs w:val="21"/>
          <w:shd w:val="clear" w:color="auto" w:fill="FFFFFF"/>
        </w:rPr>
        <w:t>sins</w:t>
      </w:r>
      <w:r>
        <w:rPr>
          <w:color w:val="242424"/>
          <w:szCs w:val="21"/>
          <w:shd w:val="clear" w:color="auto" w:fill="FFFFFF"/>
        </w:rPr>
        <w:t xml:space="preserve"> „reglur“</w:t>
      </w:r>
      <w:r w:rsidR="004B43D6" w:rsidRPr="00B27C12">
        <w:rPr>
          <w:color w:val="242424"/>
          <w:szCs w:val="21"/>
          <w:shd w:val="clear" w:color="auto" w:fill="FFFFFF"/>
        </w:rPr>
        <w:t xml:space="preserve"> </w:t>
      </w:r>
      <w:r>
        <w:rPr>
          <w:color w:val="242424"/>
          <w:szCs w:val="21"/>
          <w:shd w:val="clear" w:color="auto" w:fill="FFFFFF"/>
        </w:rPr>
        <w:t xml:space="preserve">í </w:t>
      </w:r>
      <w:r w:rsidR="00DE4095">
        <w:rPr>
          <w:color w:val="242424"/>
          <w:szCs w:val="21"/>
          <w:shd w:val="clear" w:color="auto" w:fill="FFFFFF"/>
        </w:rPr>
        <w:t xml:space="preserve">3. mgr. </w:t>
      </w:r>
      <w:r w:rsidR="004B43D6">
        <w:rPr>
          <w:color w:val="242424"/>
          <w:szCs w:val="21"/>
          <w:shd w:val="clear" w:color="auto" w:fill="FFFFFF"/>
        </w:rPr>
        <w:t>34</w:t>
      </w:r>
      <w:r w:rsidR="004B43D6" w:rsidRPr="00B27C12">
        <w:rPr>
          <w:color w:val="242424"/>
          <w:szCs w:val="21"/>
          <w:shd w:val="clear" w:color="auto" w:fill="FFFFFF"/>
        </w:rPr>
        <w:t>. gr. laganna</w:t>
      </w:r>
      <w:r>
        <w:rPr>
          <w:color w:val="242424"/>
          <w:szCs w:val="21"/>
          <w:shd w:val="clear" w:color="auto" w:fill="FFFFFF"/>
        </w:rPr>
        <w:t xml:space="preserve"> kemur</w:t>
      </w:r>
      <w:r w:rsidR="009E382D">
        <w:rPr>
          <w:color w:val="242424"/>
          <w:szCs w:val="21"/>
          <w:shd w:val="clear" w:color="auto" w:fill="FFFFFF"/>
        </w:rPr>
        <w:t>:</w:t>
      </w:r>
      <w:r>
        <w:rPr>
          <w:color w:val="242424"/>
          <w:szCs w:val="21"/>
          <w:shd w:val="clear" w:color="auto" w:fill="FFFFFF"/>
        </w:rPr>
        <w:t xml:space="preserve"> stýringar.</w:t>
      </w:r>
    </w:p>
    <w:p w14:paraId="2ACF893D" w14:textId="77777777" w:rsidR="00D50EBB" w:rsidRPr="00FA5891" w:rsidRDefault="00D50EBB" w:rsidP="00FA5891">
      <w:pPr>
        <w:ind w:firstLine="0"/>
        <w:rPr>
          <w:color w:val="242424"/>
          <w:shd w:val="clear" w:color="auto" w:fill="FFFFFF"/>
        </w:rPr>
      </w:pPr>
    </w:p>
    <w:p w14:paraId="3F6826E1" w14:textId="66F78D32" w:rsidR="008A5776" w:rsidRPr="003740C3" w:rsidRDefault="00EC2ECD" w:rsidP="008A5776">
      <w:pPr>
        <w:jc w:val="center"/>
      </w:pPr>
      <w:r>
        <w:t>1</w:t>
      </w:r>
      <w:r w:rsidR="00132231">
        <w:t>4</w:t>
      </w:r>
      <w:r w:rsidR="008A5776" w:rsidRPr="009A1DB7">
        <w:t>. gr.</w:t>
      </w:r>
    </w:p>
    <w:p w14:paraId="0A073B22" w14:textId="77777777" w:rsidR="008A5776" w:rsidRDefault="008A5776" w:rsidP="00D10560">
      <w:pPr>
        <w:ind w:firstLine="0"/>
        <w:rPr>
          <w:szCs w:val="21"/>
        </w:rPr>
      </w:pPr>
      <w:bookmarkStart w:id="16" w:name="_Hlk94785447"/>
      <w:r>
        <w:rPr>
          <w:szCs w:val="21"/>
        </w:rPr>
        <w:t xml:space="preserve">Í stað 1. og 2. mgr. 35. gr. laganna kemur: </w:t>
      </w:r>
    </w:p>
    <w:p w14:paraId="034A838B" w14:textId="56162192" w:rsidR="008A5776" w:rsidRDefault="008A5776" w:rsidP="00DC0B3B">
      <w:pPr>
        <w:ind w:left="284"/>
        <w:rPr>
          <w:szCs w:val="21"/>
        </w:rPr>
      </w:pPr>
      <w:r>
        <w:rPr>
          <w:szCs w:val="21"/>
        </w:rPr>
        <w:t xml:space="preserve">Eftirtaldir </w:t>
      </w:r>
      <w:r w:rsidR="00DC0B3B">
        <w:rPr>
          <w:szCs w:val="21"/>
        </w:rPr>
        <w:t xml:space="preserve">einstaklingar eða lögaðilar </w:t>
      </w:r>
      <w:r>
        <w:rPr>
          <w:szCs w:val="21"/>
        </w:rPr>
        <w:t xml:space="preserve">eru skráningarskyldir hjá </w:t>
      </w:r>
      <w:r w:rsidR="00F95F1C">
        <w:rPr>
          <w:szCs w:val="21"/>
        </w:rPr>
        <w:t>Seðlabanka Íslands:</w:t>
      </w:r>
    </w:p>
    <w:p w14:paraId="32939BC6" w14:textId="39732677" w:rsidR="00DC0B3B" w:rsidRDefault="70FF9B5B" w:rsidP="002B36A8">
      <w:pPr>
        <w:pStyle w:val="Mlsgreinlista"/>
        <w:numPr>
          <w:ilvl w:val="0"/>
          <w:numId w:val="13"/>
        </w:numPr>
      </w:pPr>
      <w:r>
        <w:t xml:space="preserve">Aðilar </w:t>
      </w:r>
      <w:r w:rsidR="0B04D53A">
        <w:t xml:space="preserve">sem </w:t>
      </w:r>
      <w:r w:rsidR="399F9E0A">
        <w:t>veita gjaldeyris</w:t>
      </w:r>
      <w:r w:rsidR="000129EE">
        <w:t>skipta</w:t>
      </w:r>
      <w:r w:rsidR="399F9E0A">
        <w:t>þjónustu</w:t>
      </w:r>
      <w:r>
        <w:t>;</w:t>
      </w:r>
      <w:r w:rsidR="680C0BA9">
        <w:t xml:space="preserve"> og </w:t>
      </w:r>
    </w:p>
    <w:p w14:paraId="06E48D2E" w14:textId="505213B8" w:rsidR="008A5776" w:rsidRDefault="00DC0B3B" w:rsidP="00440397">
      <w:pPr>
        <w:pStyle w:val="Mlsgreinlista"/>
        <w:numPr>
          <w:ilvl w:val="0"/>
          <w:numId w:val="13"/>
        </w:numPr>
        <w:rPr>
          <w:szCs w:val="21"/>
        </w:rPr>
      </w:pPr>
      <w:r>
        <w:rPr>
          <w:szCs w:val="21"/>
        </w:rPr>
        <w:t>Þ</w:t>
      </w:r>
      <w:r w:rsidR="008A5776" w:rsidRPr="008A5776">
        <w:rPr>
          <w:szCs w:val="21"/>
        </w:rPr>
        <w:t>jónustuveitendur sýndareigna</w:t>
      </w:r>
      <w:r>
        <w:rPr>
          <w:szCs w:val="21"/>
        </w:rPr>
        <w:t>.</w:t>
      </w:r>
      <w:r w:rsidR="008A5776" w:rsidRPr="008A5776">
        <w:rPr>
          <w:szCs w:val="21"/>
        </w:rPr>
        <w:t xml:space="preserve"> </w:t>
      </w:r>
    </w:p>
    <w:p w14:paraId="6F1A30B4" w14:textId="515816F4" w:rsidR="00E02B2B" w:rsidRDefault="00DC0B3B" w:rsidP="00D159F8">
      <w:pPr>
        <w:ind w:firstLine="0"/>
        <w:rPr>
          <w:szCs w:val="21"/>
        </w:rPr>
      </w:pPr>
      <w:r>
        <w:rPr>
          <w:szCs w:val="21"/>
        </w:rPr>
        <w:t xml:space="preserve">Undanþegin skráningarskyldu eru fjármálafyrirtæki samkvæmt skilgreiningu laga um fjármálafyrirtæki, sbr. a-lið 1. mgr. 2. </w:t>
      </w:r>
      <w:r w:rsidR="00C05DFC">
        <w:rPr>
          <w:szCs w:val="21"/>
        </w:rPr>
        <w:t>g</w:t>
      </w:r>
      <w:r>
        <w:rPr>
          <w:szCs w:val="21"/>
        </w:rPr>
        <w:t>r</w:t>
      </w:r>
      <w:r w:rsidR="00C05DFC">
        <w:rPr>
          <w:szCs w:val="21"/>
        </w:rPr>
        <w:t>.</w:t>
      </w:r>
    </w:p>
    <w:p w14:paraId="4C4A6AEB" w14:textId="321B0C44" w:rsidR="00D159F8" w:rsidRDefault="00E02B2B" w:rsidP="00D159F8">
      <w:pPr>
        <w:ind w:firstLine="0"/>
      </w:pPr>
      <w:r>
        <w:t xml:space="preserve">Á </w:t>
      </w:r>
      <w:r w:rsidR="00DC0A9A">
        <w:t>eftir 2</w:t>
      </w:r>
      <w:r>
        <w:t xml:space="preserve">. mgr. </w:t>
      </w:r>
      <w:r w:rsidR="42DD8052">
        <w:t xml:space="preserve">35. gr. laganna </w:t>
      </w:r>
      <w:r w:rsidR="00F20969">
        <w:t>kemur ný málsgrein</w:t>
      </w:r>
      <w:r w:rsidR="42DD8052">
        <w:t>, svohljóðandi:</w:t>
      </w:r>
    </w:p>
    <w:p w14:paraId="76A79A8A" w14:textId="1AC55718" w:rsidR="00D159F8" w:rsidRDefault="00D159F8" w:rsidP="00D159F8">
      <w:pPr>
        <w:ind w:left="284"/>
        <w:rPr>
          <w:szCs w:val="21"/>
        </w:rPr>
      </w:pPr>
      <w:r w:rsidRPr="00981DD6">
        <w:rPr>
          <w:color w:val="242424"/>
          <w:szCs w:val="21"/>
          <w:shd w:val="clear" w:color="auto" w:fill="FFFFFF"/>
        </w:rPr>
        <w:t xml:space="preserve">Skráningarskyldur aðili skv. 1. mgr. skal </w:t>
      </w:r>
      <w:r w:rsidRPr="00981DD6">
        <w:rPr>
          <w:szCs w:val="21"/>
        </w:rPr>
        <w:t>veita upplýsingar um framkvæmdastjóra, stjórnarmenn, stofnendur, hluthafa og raunverulega eigendur ásamt</w:t>
      </w:r>
      <w:r>
        <w:rPr>
          <w:szCs w:val="21"/>
        </w:rPr>
        <w:t xml:space="preserve"> ítarlegri</w:t>
      </w:r>
      <w:r w:rsidRPr="00981DD6">
        <w:rPr>
          <w:szCs w:val="21"/>
        </w:rPr>
        <w:t xml:space="preserve"> lýsingu á fyrirhugaðri starfsemi. Auk þess skal skráningarskyldur aðili veita upplýsingar um fyrirhugaðar aðgerðir gegn peningaþvætti og fjármögnun hryðjuverka s</w:t>
      </w:r>
      <w:r w:rsidR="00A03A8E">
        <w:rPr>
          <w:szCs w:val="21"/>
        </w:rPr>
        <w:t>amkvæmt</w:t>
      </w:r>
      <w:r w:rsidRPr="00981DD6">
        <w:rPr>
          <w:szCs w:val="21"/>
        </w:rPr>
        <w:t xml:space="preserve"> </w:t>
      </w:r>
      <w:r w:rsidR="00A03A8E">
        <w:rPr>
          <w:szCs w:val="21"/>
        </w:rPr>
        <w:t>lögum þessum</w:t>
      </w:r>
      <w:r w:rsidRPr="00981DD6">
        <w:rPr>
          <w:szCs w:val="21"/>
        </w:rPr>
        <w:t>, sérstaklega varðandi áhættumat, könnun áreiðanleika upplýsinga um viðskipta</w:t>
      </w:r>
      <w:r w:rsidR="002915A0">
        <w:rPr>
          <w:szCs w:val="21"/>
        </w:rPr>
        <w:t>menn</w:t>
      </w:r>
      <w:r w:rsidRPr="00981DD6">
        <w:rPr>
          <w:szCs w:val="21"/>
        </w:rPr>
        <w:t>, stefnu, stýringar og verkferla, þjálfun starfsmanna, ábyrgðarmann og rannsóknar- og tilkynn</w:t>
      </w:r>
      <w:r w:rsidRPr="00981DD6">
        <w:rPr>
          <w:szCs w:val="21"/>
        </w:rPr>
        <w:softHyphen/>
        <w:t>ingar</w:t>
      </w:r>
      <w:r w:rsidRPr="00981DD6">
        <w:rPr>
          <w:szCs w:val="21"/>
        </w:rPr>
        <w:softHyphen/>
        <w:t xml:space="preserve">skyldu. </w:t>
      </w:r>
      <w:r w:rsidR="00F95F1C">
        <w:rPr>
          <w:szCs w:val="21"/>
        </w:rPr>
        <w:t>Seðlabanki Íslands</w:t>
      </w:r>
      <w:r w:rsidRPr="00981DD6">
        <w:rPr>
          <w:szCs w:val="21"/>
        </w:rPr>
        <w:t xml:space="preserve"> getur óskað frekari upplýsinga í tengslum við skráningu sé það talið nauðsynlegt.</w:t>
      </w:r>
    </w:p>
    <w:bookmarkEnd w:id="16"/>
    <w:p w14:paraId="523FFB95" w14:textId="79E2236A" w:rsidR="00D159F8" w:rsidRDefault="00D159F8" w:rsidP="00D159F8">
      <w:pPr>
        <w:ind w:left="284"/>
        <w:rPr>
          <w:szCs w:val="21"/>
        </w:rPr>
      </w:pPr>
    </w:p>
    <w:p w14:paraId="032EDA81" w14:textId="490B1617" w:rsidR="00D159F8" w:rsidRPr="003740C3" w:rsidRDefault="0010220C" w:rsidP="0010220C">
      <w:pPr>
        <w:tabs>
          <w:tab w:val="center" w:pos="4054"/>
          <w:tab w:val="left" w:pos="6519"/>
        </w:tabs>
        <w:jc w:val="left"/>
      </w:pPr>
      <w:r>
        <w:lastRenderedPageBreak/>
        <w:tab/>
      </w:r>
      <w:r w:rsidR="00EC2ECD">
        <w:t>1</w:t>
      </w:r>
      <w:r w:rsidR="00132231">
        <w:t>5</w:t>
      </w:r>
      <w:r w:rsidR="00D159F8" w:rsidRPr="009A1DB7">
        <w:t>. gr.</w:t>
      </w:r>
      <w:r>
        <w:tab/>
      </w:r>
    </w:p>
    <w:p w14:paraId="47AF71A6" w14:textId="77777777" w:rsidR="00D159F8" w:rsidRDefault="00D159F8" w:rsidP="00D159F8">
      <w:pPr>
        <w:ind w:firstLine="0"/>
        <w:jc w:val="left"/>
        <w:rPr>
          <w:szCs w:val="21"/>
        </w:rPr>
      </w:pPr>
      <w:r w:rsidRPr="00E15A60">
        <w:rPr>
          <w:szCs w:val="21"/>
        </w:rPr>
        <w:t>Í stað 1. mgr. 37. gr. laganna kemur:</w:t>
      </w:r>
    </w:p>
    <w:p w14:paraId="30A7CD84" w14:textId="74B94DC6" w:rsidR="00D159F8" w:rsidRPr="00E15A60" w:rsidRDefault="00D159F8" w:rsidP="00D159F8">
      <w:pPr>
        <w:rPr>
          <w:szCs w:val="21"/>
        </w:rPr>
      </w:pPr>
      <w:r>
        <w:rPr>
          <w:szCs w:val="21"/>
        </w:rPr>
        <w:t xml:space="preserve">Neita skal um skráningu samkvæmt 1. mgr. 35. gr. ef: </w:t>
      </w:r>
      <w:r>
        <w:rPr>
          <w:szCs w:val="21"/>
        </w:rPr>
        <w:tab/>
      </w:r>
    </w:p>
    <w:p w14:paraId="3083FD1F" w14:textId="213CFB2C" w:rsidR="00D159F8" w:rsidRPr="00275835" w:rsidRDefault="42DD8052" w:rsidP="002B36A8">
      <w:pPr>
        <w:pStyle w:val="Mlsgreinlista"/>
        <w:numPr>
          <w:ilvl w:val="0"/>
          <w:numId w:val="16"/>
        </w:numPr>
        <w:rPr>
          <w:color w:val="242424"/>
          <w:shd w:val="clear" w:color="auto" w:fill="FFFFFF"/>
        </w:rPr>
      </w:pPr>
      <w:r>
        <w:t>skráningarskyldur aðili, raunverulegir eigendur, stjórn</w:t>
      </w:r>
      <w:r w:rsidR="496B2E95">
        <w:t xml:space="preserve"> </w:t>
      </w:r>
      <w:r w:rsidR="4A335D66">
        <w:t>eða</w:t>
      </w:r>
      <w:r w:rsidR="31F558B4">
        <w:t xml:space="preserve"> </w:t>
      </w:r>
      <w:r>
        <w:t xml:space="preserve">framkvæmdastjóri eru ekki </w:t>
      </w:r>
      <w:proofErr w:type="spellStart"/>
      <w:r>
        <w:t>lögráða</w:t>
      </w:r>
      <w:proofErr w:type="spellEnd"/>
      <w:r>
        <w:rPr>
          <w:color w:val="242424"/>
          <w:shd w:val="clear" w:color="auto" w:fill="FFFFFF"/>
        </w:rPr>
        <w:t>, hafa</w:t>
      </w:r>
      <w:r w:rsidRPr="00E272BA">
        <w:rPr>
          <w:color w:val="242424"/>
          <w:shd w:val="clear" w:color="auto" w:fill="FFFFFF"/>
        </w:rPr>
        <w:t xml:space="preserve"> ekki gott orðspor</w:t>
      </w:r>
      <w:r w:rsidRPr="00275835">
        <w:rPr>
          <w:color w:val="242424"/>
          <w:shd w:val="clear" w:color="auto" w:fill="FFFFFF"/>
        </w:rPr>
        <w:t xml:space="preserve"> eða </w:t>
      </w:r>
      <w:r>
        <w:rPr>
          <w:color w:val="242424"/>
          <w:shd w:val="clear" w:color="auto" w:fill="FFFFFF"/>
        </w:rPr>
        <w:t>hafa</w:t>
      </w:r>
      <w:r w:rsidRPr="00275835">
        <w:rPr>
          <w:color w:val="242424"/>
          <w:shd w:val="clear" w:color="auto" w:fill="FFFFFF"/>
        </w:rPr>
        <w:t xml:space="preserve"> á síðustu </w:t>
      </w:r>
      <w:r>
        <w:rPr>
          <w:color w:val="242424"/>
          <w:shd w:val="clear" w:color="auto" w:fill="FFFFFF"/>
        </w:rPr>
        <w:t>fimm</w:t>
      </w:r>
      <w:r w:rsidRPr="00275835">
        <w:rPr>
          <w:color w:val="242424"/>
          <w:shd w:val="clear" w:color="auto" w:fill="FFFFFF"/>
        </w:rPr>
        <w:t xml:space="preserve"> </w:t>
      </w:r>
      <w:r>
        <w:rPr>
          <w:color w:val="242424"/>
          <w:shd w:val="clear" w:color="auto" w:fill="FFFFFF"/>
        </w:rPr>
        <w:t>árum verið úrskurðaðir gjaldþrota,</w:t>
      </w:r>
      <w:r w:rsidRPr="00275835">
        <w:rPr>
          <w:color w:val="242424"/>
          <w:shd w:val="clear" w:color="auto" w:fill="FFFFFF"/>
        </w:rPr>
        <w:t xml:space="preserve"> </w:t>
      </w:r>
    </w:p>
    <w:p w14:paraId="529262A1" w14:textId="7E0F32CA" w:rsidR="00D159F8" w:rsidRPr="00981DD6" w:rsidRDefault="00D159F8" w:rsidP="002B36A8">
      <w:pPr>
        <w:pStyle w:val="Mlsgreinlista"/>
        <w:numPr>
          <w:ilvl w:val="0"/>
          <w:numId w:val="16"/>
        </w:numPr>
        <w:rPr>
          <w:color w:val="242424"/>
          <w:shd w:val="clear" w:color="auto" w:fill="FFFFFF"/>
        </w:rPr>
      </w:pPr>
      <w:r>
        <w:rPr>
          <w:color w:val="242424"/>
          <w:shd w:val="clear" w:color="auto" w:fill="FFFFFF"/>
        </w:rPr>
        <w:t>skráningarskyldur aðili, raunverulegir eigendur, stjórn</w:t>
      </w:r>
      <w:r w:rsidR="002F6113">
        <w:rPr>
          <w:color w:val="242424"/>
          <w:shd w:val="clear" w:color="auto" w:fill="FFFFFF"/>
        </w:rPr>
        <w:t xml:space="preserve"> </w:t>
      </w:r>
      <w:r w:rsidR="002443C9">
        <w:rPr>
          <w:color w:val="242424"/>
          <w:shd w:val="clear" w:color="auto" w:fill="FFFFFF"/>
        </w:rPr>
        <w:t>eða</w:t>
      </w:r>
      <w:r w:rsidR="002F6113">
        <w:rPr>
          <w:color w:val="242424"/>
          <w:shd w:val="clear" w:color="auto" w:fill="FFFFFF"/>
        </w:rPr>
        <w:t xml:space="preserve"> </w:t>
      </w:r>
      <w:r>
        <w:rPr>
          <w:color w:val="242424"/>
          <w:shd w:val="clear" w:color="auto" w:fill="FFFFFF"/>
        </w:rPr>
        <w:t>framkvæmdastjóri</w:t>
      </w:r>
      <w:r w:rsidRPr="00981DD6">
        <w:rPr>
          <w:color w:val="242424"/>
          <w:shd w:val="clear" w:color="auto" w:fill="FFFFFF"/>
        </w:rPr>
        <w:t>,</w:t>
      </w:r>
      <w:r>
        <w:rPr>
          <w:color w:val="242424"/>
          <w:shd w:val="clear" w:color="auto" w:fill="FFFFFF"/>
        </w:rPr>
        <w:t xml:space="preserve"> hafa á síðustu tíu árum</w:t>
      </w:r>
      <w:r w:rsidRPr="00981DD6">
        <w:rPr>
          <w:color w:val="242424"/>
          <w:shd w:val="clear" w:color="auto" w:fill="FFFFFF"/>
        </w:rPr>
        <w:t xml:space="preserve"> hlotið</w:t>
      </w:r>
      <w:r w:rsidR="002915A0">
        <w:rPr>
          <w:color w:val="242424"/>
          <w:shd w:val="clear" w:color="auto" w:fill="FFFFFF"/>
        </w:rPr>
        <w:t xml:space="preserve"> dóm</w:t>
      </w:r>
      <w:r w:rsidRPr="00981DD6">
        <w:rPr>
          <w:color w:val="242424"/>
          <w:shd w:val="clear" w:color="auto" w:fill="FFFFFF"/>
        </w:rPr>
        <w:t xml:space="preserve"> fyrir refsiverðan verknað samkvæmt </w:t>
      </w:r>
      <w:r w:rsidR="002915A0">
        <w:rPr>
          <w:color w:val="242424"/>
          <w:shd w:val="clear" w:color="auto" w:fill="FFFFFF"/>
        </w:rPr>
        <w:t xml:space="preserve">lögum þessum, </w:t>
      </w:r>
      <w:r w:rsidRPr="00981DD6">
        <w:rPr>
          <w:color w:val="242424"/>
          <w:shd w:val="clear" w:color="auto" w:fill="FFFFFF"/>
        </w:rPr>
        <w:t xml:space="preserve">almennum hegningarlögum, samkeppnislögum, lögum um hlutafélög, lögum um einkahlutafélög, lögum um bókhald, lögum um ársreikninga, lögum um gjaldþrotaskipti o.fl., lögum um </w:t>
      </w:r>
      <w:r>
        <w:rPr>
          <w:color w:val="242424"/>
          <w:shd w:val="clear" w:color="auto" w:fill="FFFFFF"/>
        </w:rPr>
        <w:t>staðgreiðslu opinberra gjalda,</w:t>
      </w:r>
      <w:r w:rsidRPr="00981DD6">
        <w:rPr>
          <w:color w:val="242424"/>
          <w:shd w:val="clear" w:color="auto" w:fill="FFFFFF"/>
        </w:rPr>
        <w:t xml:space="preserve"> lögum um gjaldeyrismál</w:t>
      </w:r>
      <w:r>
        <w:rPr>
          <w:color w:val="242424"/>
          <w:shd w:val="clear" w:color="auto" w:fill="FFFFFF"/>
        </w:rPr>
        <w:t xml:space="preserve"> eða</w:t>
      </w:r>
      <w:r w:rsidRPr="00981DD6">
        <w:rPr>
          <w:color w:val="242424"/>
          <w:shd w:val="clear" w:color="auto" w:fill="FFFFFF"/>
        </w:rPr>
        <w:t xml:space="preserve"> sérlögum sem gilda um aðila sem lúta opinberu </w:t>
      </w:r>
      <w:r>
        <w:rPr>
          <w:color w:val="242424"/>
          <w:shd w:val="clear" w:color="auto" w:fill="FFFFFF"/>
        </w:rPr>
        <w:t>eftirliti með fjármálastarfsemi,</w:t>
      </w:r>
    </w:p>
    <w:p w14:paraId="54DEA88F" w14:textId="4ECC7ACA" w:rsidR="00D159F8" w:rsidRDefault="00D159F8" w:rsidP="002B36A8">
      <w:pPr>
        <w:pStyle w:val="Mlsgreinlista"/>
        <w:numPr>
          <w:ilvl w:val="0"/>
          <w:numId w:val="16"/>
        </w:numPr>
        <w:rPr>
          <w:color w:val="242424"/>
          <w:shd w:val="clear" w:color="auto" w:fill="FFFFFF"/>
        </w:rPr>
      </w:pPr>
      <w:r>
        <w:rPr>
          <w:color w:val="242424"/>
          <w:shd w:val="clear" w:color="auto" w:fill="FFFFFF"/>
        </w:rPr>
        <w:t>skráningarskyldur aðili, raunverulegir eigendur, stjórn</w:t>
      </w:r>
      <w:r w:rsidR="002F6113">
        <w:rPr>
          <w:color w:val="242424"/>
          <w:shd w:val="clear" w:color="auto" w:fill="FFFFFF"/>
        </w:rPr>
        <w:t xml:space="preserve"> </w:t>
      </w:r>
      <w:r w:rsidR="002443C9">
        <w:rPr>
          <w:color w:val="242424"/>
          <w:shd w:val="clear" w:color="auto" w:fill="FFFFFF"/>
        </w:rPr>
        <w:t>eða</w:t>
      </w:r>
      <w:r w:rsidR="002F6113">
        <w:rPr>
          <w:color w:val="242424"/>
          <w:shd w:val="clear" w:color="auto" w:fill="FFFFFF"/>
        </w:rPr>
        <w:t xml:space="preserve"> </w:t>
      </w:r>
      <w:r>
        <w:rPr>
          <w:color w:val="242424"/>
          <w:shd w:val="clear" w:color="auto" w:fill="FFFFFF"/>
        </w:rPr>
        <w:t xml:space="preserve">framkvæmdastjóri eru </w:t>
      </w:r>
      <w:r w:rsidRPr="00981DD6">
        <w:rPr>
          <w:color w:val="242424"/>
          <w:shd w:val="clear" w:color="auto" w:fill="FFFFFF"/>
        </w:rPr>
        <w:t>ekki</w:t>
      </w:r>
      <w:r>
        <w:rPr>
          <w:color w:val="242424"/>
          <w:shd w:val="clear" w:color="auto" w:fill="FFFFFF"/>
        </w:rPr>
        <w:t xml:space="preserve"> fjárhagslega sjálfstæði</w:t>
      </w:r>
      <w:r w:rsidRPr="00981DD6">
        <w:rPr>
          <w:color w:val="242424"/>
          <w:shd w:val="clear" w:color="auto" w:fill="FFFFFF"/>
        </w:rPr>
        <w:t xml:space="preserve">r </w:t>
      </w:r>
      <w:r>
        <w:rPr>
          <w:color w:val="242424"/>
          <w:shd w:val="clear" w:color="auto" w:fill="FFFFFF"/>
        </w:rPr>
        <w:t>eða</w:t>
      </w:r>
      <w:r w:rsidRPr="00981DD6">
        <w:rPr>
          <w:color w:val="242424"/>
          <w:shd w:val="clear" w:color="auto" w:fill="FFFFFF"/>
        </w:rPr>
        <w:t xml:space="preserve"> </w:t>
      </w:r>
      <w:r>
        <w:rPr>
          <w:color w:val="242424"/>
          <w:shd w:val="clear" w:color="auto" w:fill="FFFFFF"/>
        </w:rPr>
        <w:t>hafa</w:t>
      </w:r>
      <w:r w:rsidRPr="00981DD6">
        <w:rPr>
          <w:color w:val="242424"/>
          <w:shd w:val="clear" w:color="auto" w:fill="FFFFFF"/>
        </w:rPr>
        <w:t xml:space="preserve"> ekki yfir að ráða þekkingu, hæfni og reynslu sem nýtist í starfi</w:t>
      </w:r>
      <w:r>
        <w:rPr>
          <w:color w:val="242424"/>
          <w:shd w:val="clear" w:color="auto" w:fill="FFFFFF"/>
        </w:rPr>
        <w:t>,</w:t>
      </w:r>
    </w:p>
    <w:p w14:paraId="7CF54944" w14:textId="77777777" w:rsidR="00D159F8" w:rsidRPr="00981DD6" w:rsidRDefault="00D159F8" w:rsidP="002B36A8">
      <w:pPr>
        <w:pStyle w:val="Mlsgreinlista"/>
        <w:numPr>
          <w:ilvl w:val="0"/>
          <w:numId w:val="16"/>
        </w:numPr>
        <w:rPr>
          <w:color w:val="242424"/>
          <w:shd w:val="clear" w:color="auto" w:fill="FFFFFF"/>
        </w:rPr>
      </w:pPr>
      <w:r>
        <w:rPr>
          <w:color w:val="242424"/>
        </w:rPr>
        <w:t>skráningarskyldur aðili uppfyllir ekki kröfur þessara laga.</w:t>
      </w:r>
    </w:p>
    <w:p w14:paraId="6908B54E" w14:textId="3F22FD44" w:rsidR="00D159F8" w:rsidRDefault="496B2E95" w:rsidP="00D159F8">
      <w:pPr>
        <w:ind w:left="284"/>
        <w:rPr>
          <w:color w:val="242424"/>
          <w:shd w:val="clear" w:color="auto" w:fill="FFFFFF"/>
        </w:rPr>
      </w:pPr>
      <w:r w:rsidRPr="00D74D56">
        <w:rPr>
          <w:color w:val="242424"/>
          <w:shd w:val="clear" w:color="auto" w:fill="FFFFFF"/>
        </w:rPr>
        <w:t xml:space="preserve">Skráningarskyldur aðili, raunverulegir eigendur, stjórn og framkvæmdastjóri </w:t>
      </w:r>
      <w:r w:rsidR="42DD8052" w:rsidRPr="00D74D56">
        <w:rPr>
          <w:color w:val="242424"/>
          <w:shd w:val="clear" w:color="auto" w:fill="FFFFFF"/>
        </w:rPr>
        <w:t xml:space="preserve">skv. 1. mgr. 35. gr. skulu á hverjum tíma uppfylla hæfisskilyrði skv. þessari grein. </w:t>
      </w:r>
      <w:bookmarkStart w:id="17" w:name="_Hlk95806709"/>
      <w:r w:rsidR="42DD8052" w:rsidRPr="00D74D56">
        <w:rPr>
          <w:color w:val="242424"/>
          <w:shd w:val="clear" w:color="auto" w:fill="FFFFFF"/>
        </w:rPr>
        <w:t xml:space="preserve">Seðlabanki Íslands getur á hverjum tíma tekið hæfi stjórnarmanna og framkvæmdastjóra skv. 1. mgr. 37. gr. til sérstakrar skoðunar. </w:t>
      </w:r>
      <w:bookmarkEnd w:id="17"/>
      <w:r w:rsidR="42DD8052" w:rsidRPr="00D74D56">
        <w:rPr>
          <w:color w:val="242424"/>
          <w:shd w:val="clear" w:color="auto" w:fill="FFFFFF"/>
        </w:rPr>
        <w:t>Seðlabanki Íslands setur nánari reglur um hæfisskilyrði skv. þessari grein, þar á meðal um hvað felist í fullnægjandi þekkingu, hæfni og reynslu</w:t>
      </w:r>
      <w:r w:rsidR="3152FE5B" w:rsidRPr="00D74D56">
        <w:rPr>
          <w:color w:val="242424"/>
          <w:shd w:val="clear" w:color="auto" w:fill="FFFFFF"/>
        </w:rPr>
        <w:t xml:space="preserve"> sem nýtist í starfi</w:t>
      </w:r>
      <w:r w:rsidR="42DD8052" w:rsidRPr="00D74D56">
        <w:rPr>
          <w:color w:val="242424"/>
          <w:shd w:val="clear" w:color="auto" w:fill="FFFFFF"/>
        </w:rPr>
        <w:t>, góðu orðspori og fjárhagslegu sjálfstæði, og hvernig staðið skuli að hæfismati.</w:t>
      </w:r>
      <w:r w:rsidR="42DD8052" w:rsidRPr="00981DD6">
        <w:rPr>
          <w:color w:val="242424"/>
          <w:shd w:val="clear" w:color="auto" w:fill="FFFFFF"/>
        </w:rPr>
        <w:t xml:space="preserve"> </w:t>
      </w:r>
    </w:p>
    <w:p w14:paraId="61B105AF" w14:textId="77777777" w:rsidR="005E2F05" w:rsidRDefault="005E2F05" w:rsidP="00765996">
      <w:pPr>
        <w:ind w:firstLine="0"/>
        <w:rPr>
          <w:color w:val="242424"/>
          <w:shd w:val="clear" w:color="auto" w:fill="FFFFFF"/>
        </w:rPr>
      </w:pPr>
    </w:p>
    <w:p w14:paraId="0864F5AB" w14:textId="77777777" w:rsidR="00257E20" w:rsidRPr="00FF4D0B" w:rsidRDefault="00257E20" w:rsidP="00257E20">
      <w:pPr>
        <w:jc w:val="center"/>
      </w:pPr>
      <w:r>
        <w:t>16</w:t>
      </w:r>
      <w:r w:rsidRPr="00FF4D0B">
        <w:t>. gr.</w:t>
      </w:r>
    </w:p>
    <w:p w14:paraId="24314C22" w14:textId="2307FEB7" w:rsidR="00257E20" w:rsidRDefault="00257E20" w:rsidP="00257E20">
      <w:r w:rsidRPr="00FF4D0B">
        <w:t xml:space="preserve">Á eftir 44. gr. kemur nýtt ákvæði, 44. gr. a, </w:t>
      </w:r>
      <w:r w:rsidR="00B05E90">
        <w:t xml:space="preserve">ásamt fyrirsögn, </w:t>
      </w:r>
      <w:r w:rsidRPr="00FF4D0B">
        <w:t xml:space="preserve">svohljóðandi: </w:t>
      </w:r>
    </w:p>
    <w:p w14:paraId="5C865BFC" w14:textId="3FB4DDBC" w:rsidR="00B05E90" w:rsidRPr="002D3317" w:rsidRDefault="00B05E90" w:rsidP="006A77DC">
      <w:pPr>
        <w:jc w:val="center"/>
        <w:rPr>
          <w:i/>
          <w:iCs/>
        </w:rPr>
      </w:pPr>
      <w:r>
        <w:rPr>
          <w:i/>
          <w:iCs/>
        </w:rPr>
        <w:t>Um á</w:t>
      </w:r>
      <w:r w:rsidRPr="002D3317">
        <w:rPr>
          <w:i/>
          <w:iCs/>
        </w:rPr>
        <w:t xml:space="preserve">kvörðun </w:t>
      </w:r>
      <w:r>
        <w:rPr>
          <w:i/>
          <w:iCs/>
        </w:rPr>
        <w:t>viðurlaga</w:t>
      </w:r>
    </w:p>
    <w:p w14:paraId="06566271" w14:textId="1FAB0219" w:rsidR="00214922" w:rsidRPr="00FF4D0B" w:rsidRDefault="00214922" w:rsidP="00257E20">
      <w:r>
        <w:t xml:space="preserve">Við ákvörðun um tegund og umfang viðurlaga samkvæmt þessum kafla skal tekið tillit til allra atvika sem máli skipta, </w:t>
      </w:r>
      <w:proofErr w:type="spellStart"/>
      <w:r>
        <w:t>þ.á.m</w:t>
      </w:r>
      <w:proofErr w:type="spellEnd"/>
      <w:r w:rsidR="006A77DC">
        <w:t>.</w:t>
      </w:r>
      <w:r>
        <w:t xml:space="preserve"> eftirfarandi atriða eftir því við á:</w:t>
      </w:r>
    </w:p>
    <w:p w14:paraId="1A17305C" w14:textId="77777777" w:rsidR="00257E20" w:rsidRPr="00FF4D0B" w:rsidRDefault="00257E20" w:rsidP="00257E20">
      <w:r w:rsidRPr="00FF4D0B">
        <w:t xml:space="preserve">    a. alvarleika brots,</w:t>
      </w:r>
    </w:p>
    <w:p w14:paraId="06A703AE" w14:textId="77777777" w:rsidR="00257E20" w:rsidRPr="00FF4D0B" w:rsidRDefault="00257E20" w:rsidP="00257E20">
      <w:r w:rsidRPr="00FF4D0B">
        <w:t xml:space="preserve">    b. hvað brotið hefur staðið lengi,</w:t>
      </w:r>
    </w:p>
    <w:p w14:paraId="5044DDE9" w14:textId="77777777" w:rsidR="00257E20" w:rsidRPr="00FF4D0B" w:rsidRDefault="00257E20" w:rsidP="00257E20">
      <w:r w:rsidRPr="00FF4D0B">
        <w:t xml:space="preserve">    c. ábyrgðar hins brotlega hjá lögaðilanum,</w:t>
      </w:r>
    </w:p>
    <w:p w14:paraId="7D021A38" w14:textId="77777777" w:rsidR="00257E20" w:rsidRPr="00FF4D0B" w:rsidRDefault="00257E20" w:rsidP="00257E20">
      <w:r w:rsidRPr="00FF4D0B">
        <w:t xml:space="preserve">    d. fjárhagsstöðu hins brotlega,</w:t>
      </w:r>
    </w:p>
    <w:p w14:paraId="54B4C9BB" w14:textId="77777777" w:rsidR="00257E20" w:rsidRPr="00FF4D0B" w:rsidRDefault="00257E20" w:rsidP="00257E20">
      <w:r w:rsidRPr="00FF4D0B">
        <w:t xml:space="preserve">    e. ávinnings af broti eða taps sem forðað er með broti,</w:t>
      </w:r>
    </w:p>
    <w:p w14:paraId="36AC00A6" w14:textId="77777777" w:rsidR="00257E20" w:rsidRPr="00FF4D0B" w:rsidRDefault="00257E20" w:rsidP="00257E20">
      <w:r w:rsidRPr="00FF4D0B">
        <w:t xml:space="preserve">    f. hvort brot hafi leitt til taps þriðja aðila,</w:t>
      </w:r>
    </w:p>
    <w:p w14:paraId="7FA1A17D" w14:textId="77777777" w:rsidR="00257E20" w:rsidRPr="00FF4D0B" w:rsidRDefault="00257E20" w:rsidP="00257E20">
      <w:r w:rsidRPr="00FF4D0B">
        <w:t xml:space="preserve">    g. hvers konar mögulegra </w:t>
      </w:r>
      <w:proofErr w:type="spellStart"/>
      <w:r w:rsidRPr="00FF4D0B">
        <w:t>kerfislegra</w:t>
      </w:r>
      <w:proofErr w:type="spellEnd"/>
      <w:r w:rsidRPr="00FF4D0B">
        <w:t xml:space="preserve"> áhrifa brotsins,</w:t>
      </w:r>
    </w:p>
    <w:p w14:paraId="76BD39A9" w14:textId="77777777" w:rsidR="00257E20" w:rsidRPr="00FF4D0B" w:rsidRDefault="00257E20" w:rsidP="00257E20">
      <w:r w:rsidRPr="00FF4D0B">
        <w:t xml:space="preserve">    h. samstarfsvilja hins brotlega,</w:t>
      </w:r>
    </w:p>
    <w:p w14:paraId="5459EEF8" w14:textId="77777777" w:rsidR="00257E20" w:rsidRPr="00FF4D0B" w:rsidRDefault="00257E20" w:rsidP="00257E20">
      <w:r w:rsidRPr="00FF4D0B">
        <w:t xml:space="preserve">    i. fyrri brota og hvort um ítrekað brot er að ræða.</w:t>
      </w:r>
    </w:p>
    <w:p w14:paraId="6C840984" w14:textId="77777777" w:rsidR="00765996" w:rsidRDefault="00765996" w:rsidP="006A77DC">
      <w:pPr>
        <w:ind w:firstLine="0"/>
      </w:pPr>
    </w:p>
    <w:p w14:paraId="1DF6AB45" w14:textId="31AD9D9B" w:rsidR="00257E20" w:rsidRPr="00FF4D0B" w:rsidRDefault="00257E20" w:rsidP="00257E20">
      <w:pPr>
        <w:jc w:val="center"/>
      </w:pPr>
      <w:r>
        <w:t>17</w:t>
      </w:r>
      <w:r w:rsidRPr="00FF4D0B">
        <w:t>. gr.</w:t>
      </w:r>
    </w:p>
    <w:p w14:paraId="1B153323" w14:textId="77777777" w:rsidR="00257E20" w:rsidRPr="00FF4D0B" w:rsidRDefault="00257E20" w:rsidP="00257E20">
      <w:r w:rsidRPr="00FF4D0B">
        <w:t>Eftirfarandi breytingar verða á 46. gr. laganna:</w:t>
      </w:r>
    </w:p>
    <w:p w14:paraId="17577A9E" w14:textId="7AD54533" w:rsidR="00257E20" w:rsidRDefault="00257E20" w:rsidP="00257E20">
      <w:pPr>
        <w:numPr>
          <w:ilvl w:val="0"/>
          <w:numId w:val="22"/>
        </w:numPr>
        <w:spacing w:after="160" w:line="259" w:lineRule="auto"/>
        <w:contextualSpacing/>
        <w:jc w:val="left"/>
      </w:pPr>
      <w:r w:rsidRPr="00FF4D0B">
        <w:t>2. mgr. fellur brott.</w:t>
      </w:r>
    </w:p>
    <w:p w14:paraId="1207BC05" w14:textId="1FB4CC15" w:rsidR="00257E20" w:rsidRDefault="00257E20" w:rsidP="00594A6C">
      <w:pPr>
        <w:numPr>
          <w:ilvl w:val="0"/>
          <w:numId w:val="22"/>
        </w:numPr>
        <w:spacing w:after="160" w:line="259" w:lineRule="auto"/>
        <w:contextualSpacing/>
        <w:jc w:val="left"/>
      </w:pPr>
      <w:r w:rsidRPr="00FF4D0B">
        <w:t>Í stað tilvísunarinnar til „3. mgr.“ í 4. mgr. greinarinnar kemur „2. mgr.“</w:t>
      </w:r>
    </w:p>
    <w:p w14:paraId="663C1A97" w14:textId="77777777" w:rsidR="00257E20" w:rsidRPr="00FF4D0B" w:rsidRDefault="00257E20" w:rsidP="00594A6C">
      <w:pPr>
        <w:numPr>
          <w:ilvl w:val="0"/>
          <w:numId w:val="22"/>
        </w:numPr>
        <w:spacing w:after="160" w:line="259" w:lineRule="auto"/>
        <w:contextualSpacing/>
        <w:jc w:val="left"/>
      </w:pPr>
      <w:r w:rsidRPr="00FF4D0B">
        <w:t>Í stað tilvísunarinnar til „3. og 4. mgr.“ í 6. mgr. greinarinnar kemur „2., 3. og 4. mgr.“</w:t>
      </w:r>
    </w:p>
    <w:p w14:paraId="2AD4F0F8" w14:textId="77777777" w:rsidR="00257E20" w:rsidRPr="00FF4D0B" w:rsidRDefault="00257E20" w:rsidP="00257E20"/>
    <w:p w14:paraId="462D12F7" w14:textId="77777777" w:rsidR="00257E20" w:rsidRPr="00FF4D0B" w:rsidRDefault="00257E20" w:rsidP="00257E20">
      <w:pPr>
        <w:jc w:val="center"/>
      </w:pPr>
      <w:r>
        <w:t>18</w:t>
      </w:r>
      <w:r w:rsidRPr="00FF4D0B">
        <w:t>. gr.</w:t>
      </w:r>
    </w:p>
    <w:p w14:paraId="4A3D6266" w14:textId="77777777" w:rsidR="00257E20" w:rsidRPr="00FF4D0B" w:rsidRDefault="00257E20" w:rsidP="00257E20">
      <w:r w:rsidRPr="00FF4D0B">
        <w:t>Á eftir orðunum „Í máli sem beinist að einstaklingi og lokið getur með álagningu stjórnvaldssekta“ í 48. gr. kemur: eða öðrum viðurlögum samkvæmt lögum þessum.</w:t>
      </w:r>
    </w:p>
    <w:p w14:paraId="2FF4C6A3" w14:textId="77777777" w:rsidR="00257E20" w:rsidRPr="00FF4D0B" w:rsidRDefault="00257E20" w:rsidP="00257E20"/>
    <w:p w14:paraId="398F1907" w14:textId="77777777" w:rsidR="0029346B" w:rsidRDefault="00257E20" w:rsidP="0029346B">
      <w:pPr>
        <w:ind w:firstLine="0"/>
        <w:jc w:val="center"/>
      </w:pPr>
      <w:r>
        <w:t>19</w:t>
      </w:r>
      <w:r w:rsidRPr="00FF4D0B">
        <w:t>.</w:t>
      </w:r>
      <w:r w:rsidR="0029346B">
        <w:t xml:space="preserve"> gr.</w:t>
      </w:r>
    </w:p>
    <w:p w14:paraId="3108509F" w14:textId="4A7D0755" w:rsidR="00A12A65" w:rsidRDefault="00A12A65" w:rsidP="00A12A65">
      <w:pPr>
        <w:ind w:firstLine="0"/>
      </w:pPr>
      <w:r>
        <w:t>Fyrirsögn 49. gr. verður: Frestur til að leggja á viðurlög.</w:t>
      </w:r>
    </w:p>
    <w:p w14:paraId="140EB377" w14:textId="2E9BFB66" w:rsidR="00257E20" w:rsidRPr="00FF4D0B" w:rsidRDefault="00257E20" w:rsidP="00257E20">
      <w:r w:rsidRPr="00FF4D0B">
        <w:t xml:space="preserve">Á eftir orðunum „Heimild eftirlitsaðila til að leggja á stjórnvaldssektir“ í 1. mgr. 49. gr. kemur: </w:t>
      </w:r>
    </w:p>
    <w:p w14:paraId="13078E6F" w14:textId="77777777" w:rsidR="00257E20" w:rsidRPr="00FF4D0B" w:rsidRDefault="00257E20" w:rsidP="00257E20">
      <w:r w:rsidRPr="00FF4D0B">
        <w:t>eða önnur viðurlög.</w:t>
      </w:r>
    </w:p>
    <w:p w14:paraId="23F006A0" w14:textId="77777777" w:rsidR="00257E20" w:rsidRPr="00FF4D0B" w:rsidRDefault="00257E20" w:rsidP="00257E20"/>
    <w:p w14:paraId="4A3AFAD8" w14:textId="77777777" w:rsidR="00257E20" w:rsidRPr="00FF4D0B" w:rsidRDefault="00257E20" w:rsidP="00257E20">
      <w:pPr>
        <w:jc w:val="center"/>
      </w:pPr>
      <w:r>
        <w:t>20</w:t>
      </w:r>
      <w:r w:rsidRPr="00FF4D0B">
        <w:t>. gr.</w:t>
      </w:r>
    </w:p>
    <w:p w14:paraId="0CC42733" w14:textId="3B75712C" w:rsidR="00257E20" w:rsidRDefault="0385CC3F" w:rsidP="00E272BA">
      <w:pPr>
        <w:spacing w:after="160" w:line="259" w:lineRule="auto"/>
        <w:contextualSpacing/>
      </w:pPr>
      <w:proofErr w:type="spellStart"/>
      <w:r>
        <w:t>H</w:t>
      </w:r>
      <w:r w:rsidR="6BEDE563">
        <w:t>-liður</w:t>
      </w:r>
      <w:proofErr w:type="spellEnd"/>
      <w:r w:rsidR="6BEDE563">
        <w:t xml:space="preserve"> 1. mgr. </w:t>
      </w:r>
      <w:r>
        <w:t xml:space="preserve">56. gr. </w:t>
      </w:r>
      <w:r w:rsidR="6BEDE563">
        <w:t xml:space="preserve">orðast svo: um álagningu </w:t>
      </w:r>
      <w:r w:rsidR="08049CF8">
        <w:t>dagsekta</w:t>
      </w:r>
      <w:r w:rsidR="00802602">
        <w:t>, stjórnvaldssekta</w:t>
      </w:r>
      <w:r w:rsidR="08049CF8">
        <w:t xml:space="preserve"> og </w:t>
      </w:r>
      <w:r w:rsidR="00802602">
        <w:t xml:space="preserve">önnur </w:t>
      </w:r>
      <w:r>
        <w:t>viðurl</w:t>
      </w:r>
      <w:r w:rsidR="00802602">
        <w:t>ög</w:t>
      </w:r>
      <w:r>
        <w:t xml:space="preserve"> </w:t>
      </w:r>
      <w:r w:rsidR="6BEDE563">
        <w:t>skv. XII. kafla.</w:t>
      </w:r>
    </w:p>
    <w:p w14:paraId="1CB8FD58" w14:textId="7FDBCBFE" w:rsidR="006A77DC" w:rsidRDefault="006A77DC" w:rsidP="00E272BA">
      <w:pPr>
        <w:spacing w:after="160" w:line="259" w:lineRule="auto"/>
        <w:contextualSpacing/>
      </w:pPr>
    </w:p>
    <w:p w14:paraId="4183098E" w14:textId="63B11338" w:rsidR="006A77DC" w:rsidRPr="00FF4D0B" w:rsidRDefault="006A77DC" w:rsidP="006A77DC">
      <w:pPr>
        <w:jc w:val="center"/>
      </w:pPr>
      <w:r>
        <w:t>21</w:t>
      </w:r>
      <w:r w:rsidRPr="00FF4D0B">
        <w:t>. gr.</w:t>
      </w:r>
    </w:p>
    <w:p w14:paraId="5B12611B" w14:textId="5DE5DF2C" w:rsidR="006A77DC" w:rsidRPr="00FF4D0B" w:rsidRDefault="006B013F" w:rsidP="006A77DC">
      <w:pPr>
        <w:spacing w:after="160" w:line="259" w:lineRule="auto"/>
        <w:contextualSpacing/>
      </w:pPr>
      <w:r>
        <w:t>Lög þessi öðlast þegar gildi.</w:t>
      </w:r>
    </w:p>
    <w:p w14:paraId="2E2DC3DD" w14:textId="77777777" w:rsidR="006A77DC" w:rsidRPr="00FF4D0B" w:rsidRDefault="006A77DC" w:rsidP="00E272BA">
      <w:pPr>
        <w:spacing w:after="160" w:line="259" w:lineRule="auto"/>
        <w:contextualSpacing/>
      </w:pPr>
    </w:p>
    <w:p w14:paraId="5C207A29" w14:textId="77777777" w:rsidR="00257E20" w:rsidRDefault="00257E20" w:rsidP="00257E20">
      <w:pPr>
        <w:jc w:val="center"/>
      </w:pPr>
    </w:p>
    <w:p w14:paraId="6BC755F1" w14:textId="77777777" w:rsidR="00594A6C" w:rsidRPr="009D1A5C" w:rsidRDefault="00594A6C" w:rsidP="00594A6C">
      <w:pPr>
        <w:rPr>
          <w:b/>
        </w:rPr>
      </w:pPr>
      <w:bookmarkStart w:id="18" w:name="one"/>
      <w:bookmarkEnd w:id="2"/>
      <w:bookmarkEnd w:id="18"/>
      <w:r w:rsidRPr="009D1A5C">
        <w:rPr>
          <w:b/>
        </w:rPr>
        <w:t xml:space="preserve">1. Inngangur. </w:t>
      </w:r>
    </w:p>
    <w:p w14:paraId="5938FF20" w14:textId="77777777" w:rsidR="00594A6C" w:rsidRDefault="00594A6C" w:rsidP="00594A6C">
      <w:r w:rsidRPr="009D1A5C">
        <w:t xml:space="preserve">Frumvarp þetta er samið í dómsmálaráðuneytinu </w:t>
      </w:r>
      <w:r>
        <w:t>til breytinga</w:t>
      </w:r>
      <w:r w:rsidRPr="009D1A5C">
        <w:t xml:space="preserve"> á ákvæðum laga um aðgerðir gegn peningaþvætti og fjármögnun hryðjuverka nr. 140/2018</w:t>
      </w:r>
      <w:r>
        <w:t xml:space="preserve">. Kveikjuna að gerð frumvarpsins má rekja til breytinga sem alþjóðlegi fjármálaaðgerðahópurinn Financial Action </w:t>
      </w:r>
      <w:proofErr w:type="spellStart"/>
      <w:r>
        <w:t>Task</w:t>
      </w:r>
      <w:proofErr w:type="spellEnd"/>
      <w:r>
        <w:t xml:space="preserve"> </w:t>
      </w:r>
      <w:proofErr w:type="spellStart"/>
      <w:r>
        <w:t>Force</w:t>
      </w:r>
      <w:proofErr w:type="spellEnd"/>
      <w:r>
        <w:t xml:space="preserve"> (FATF) gerði á aðferðafræði sinni og tilmælum um sýndareignir, en lokið var við þær breytingar á árinu 2019</w:t>
      </w:r>
      <w:r w:rsidRPr="00341766">
        <w:t xml:space="preserve">. </w:t>
      </w:r>
      <w:r>
        <w:t>Samhliða því var ákveðið að ráðast í afmarkaðar breytingar á öðrum ákvæðum laganna, sem m.a. byggja á fenginni reynslu af beitingu þeirra, en nánari grein er gerð fyrir þeim breytingum og tilefni þeirra í 2. og 3. kafla frumvarpsins hér að neðan.</w:t>
      </w:r>
    </w:p>
    <w:p w14:paraId="7AA06323" w14:textId="77777777" w:rsidR="00594A6C" w:rsidRPr="009D1A5C" w:rsidRDefault="00594A6C" w:rsidP="00594A6C"/>
    <w:p w14:paraId="760820DC" w14:textId="77777777" w:rsidR="00594A6C" w:rsidRPr="009D1A5C" w:rsidRDefault="00594A6C" w:rsidP="00594A6C">
      <w:pPr>
        <w:rPr>
          <w:b/>
        </w:rPr>
      </w:pPr>
      <w:r w:rsidRPr="009D1A5C">
        <w:rPr>
          <w:b/>
        </w:rPr>
        <w:t xml:space="preserve">2. Tilefni og nauðsyn lagasetningar. </w:t>
      </w:r>
    </w:p>
    <w:p w14:paraId="30E18E89" w14:textId="77777777" w:rsidR="00594A6C" w:rsidRPr="009D1A5C" w:rsidRDefault="00594A6C" w:rsidP="00594A6C">
      <w:pPr>
        <w:rPr>
          <w:color w:val="242424"/>
          <w:shd w:val="clear" w:color="auto" w:fill="FFFFFF"/>
        </w:rPr>
      </w:pPr>
      <w:r w:rsidRPr="009D1A5C">
        <w:rPr>
          <w:bCs/>
        </w:rPr>
        <w:t>Það er opinber stefna íslenskra stjórnvalda að íslensk löggjöf skuli á hverjum tíma innihalda fullnægjandi varnir gegn peningaþvætti og fjármögnun hryðjuverka og uppfylla þær alþjóðlegu kröfur sem gerðar eru til varna gegn slíkum brotum.</w:t>
      </w:r>
      <w:r w:rsidRPr="009D1A5C">
        <w:rPr>
          <w:color w:val="242424"/>
          <w:shd w:val="clear" w:color="auto" w:fill="FFFFFF"/>
        </w:rPr>
        <w:t> Ísland undirgekkst alþjóðlegar skuldbindingar um varnir gegn peningaþvætti og fjármögnun hryðjuverka með aðild að FATF árið 1991 en í því fólst skuldbinding um að samræma löggjöf</w:t>
      </w:r>
      <w:r>
        <w:rPr>
          <w:color w:val="242424"/>
          <w:shd w:val="clear" w:color="auto" w:fill="FFFFFF"/>
        </w:rPr>
        <w:t xml:space="preserve"> og reglur</w:t>
      </w:r>
      <w:r w:rsidRPr="009D1A5C">
        <w:rPr>
          <w:color w:val="242424"/>
          <w:shd w:val="clear" w:color="auto" w:fill="FFFFFF"/>
        </w:rPr>
        <w:t xml:space="preserve"> hér á landi að tilmælum FATF. Af hálfu FATF eru framkvæmdar úttektir á því hvernig ríkjum hefur tekist að innleiða tilmælin og efla varnir sínar gegn peningaþvætti og fjármögnun hryðjuverka. Allsherjarúttekt FATF á Íslandi lauk í febrúar 2018 og var skýrsla með niðurstöðum hennar birt í byrjun apríl sama ár. Úttektin leiddi m.a. í ljós ýmsa veikleika á íslenskri löggjöf.</w:t>
      </w:r>
    </w:p>
    <w:p w14:paraId="5825E5ED" w14:textId="34228DCB" w:rsidR="00594A6C" w:rsidRPr="009D1A5C" w:rsidRDefault="00594A6C" w:rsidP="00594A6C">
      <w:pPr>
        <w:rPr>
          <w:color w:val="242424"/>
          <w:shd w:val="clear" w:color="auto" w:fill="FFFFFF"/>
        </w:rPr>
      </w:pPr>
      <w:r w:rsidRPr="009D1A5C">
        <w:rPr>
          <w:color w:val="242424"/>
          <w:shd w:val="clear" w:color="auto" w:fill="FFFFFF"/>
        </w:rPr>
        <w:t>Í kjölfar úttektarinnar voru sett ný heildarlög um aðgerðir gegn peningaþvætti og fjármögnun hryðjuverka</w:t>
      </w:r>
      <w:r>
        <w:rPr>
          <w:color w:val="242424"/>
          <w:shd w:val="clear" w:color="auto" w:fill="FFFFFF"/>
        </w:rPr>
        <w:t>. Lögin fólu í sér innleiðingu á fjórðu peningaþvættistilskipun Evrópusambandsins</w:t>
      </w:r>
      <w:r w:rsidRPr="009B2191">
        <w:t xml:space="preserve"> </w:t>
      </w:r>
      <w:r w:rsidRPr="009B2191">
        <w:rPr>
          <w:color w:val="242424"/>
          <w:shd w:val="clear" w:color="auto" w:fill="FFFFFF"/>
        </w:rPr>
        <w:t>(2015/849/EB)</w:t>
      </w:r>
      <w:r>
        <w:rPr>
          <w:color w:val="242424"/>
          <w:shd w:val="clear" w:color="auto" w:fill="FFFFFF"/>
        </w:rPr>
        <w:t>,</w:t>
      </w:r>
      <w:r w:rsidRPr="009B2191">
        <w:rPr>
          <w:color w:val="242424"/>
          <w:shd w:val="clear" w:color="auto" w:fill="FFFFFF"/>
        </w:rPr>
        <w:t xml:space="preserve"> og völdum ákvæðum fimmtu peningaþvættistilskipun</w:t>
      </w:r>
      <w:r>
        <w:rPr>
          <w:color w:val="242424"/>
          <w:shd w:val="clear" w:color="auto" w:fill="FFFFFF"/>
        </w:rPr>
        <w:t>ar</w:t>
      </w:r>
      <w:r w:rsidRPr="009B2191">
        <w:rPr>
          <w:color w:val="242424"/>
          <w:shd w:val="clear" w:color="auto" w:fill="FFFFFF"/>
        </w:rPr>
        <w:t xml:space="preserve"> Evrópusambandsins (2018/843/EB)</w:t>
      </w:r>
      <w:r>
        <w:rPr>
          <w:color w:val="242424"/>
          <w:shd w:val="clear" w:color="auto" w:fill="FFFFFF"/>
        </w:rPr>
        <w:t>, sem felur í sér viðbætur og breytingar á fjórðu peningaþvættistilskipuninni</w:t>
      </w:r>
      <w:r w:rsidRPr="009D1A5C">
        <w:rPr>
          <w:color w:val="242424"/>
          <w:shd w:val="clear" w:color="auto" w:fill="FFFFFF"/>
        </w:rPr>
        <w:t xml:space="preserve">. Einnig voru gerðar viðamiklar breytingar á öðrum lögum, sett </w:t>
      </w:r>
      <w:r>
        <w:rPr>
          <w:color w:val="242424"/>
          <w:shd w:val="clear" w:color="auto" w:fill="FFFFFF"/>
        </w:rPr>
        <w:t xml:space="preserve">ný </w:t>
      </w:r>
      <w:r w:rsidRPr="009D1A5C">
        <w:rPr>
          <w:color w:val="242424"/>
          <w:shd w:val="clear" w:color="auto" w:fill="FFFFFF"/>
        </w:rPr>
        <w:t>lög um skráningu raunverulegra eigenda</w:t>
      </w:r>
      <w:r>
        <w:rPr>
          <w:color w:val="242424"/>
          <w:shd w:val="clear" w:color="auto" w:fill="FFFFFF"/>
        </w:rPr>
        <w:t xml:space="preserve"> og lög um frystingu fjármuna og skráningu á lista yfir þvingunaraðgerðir,</w:t>
      </w:r>
      <w:r w:rsidRPr="009D1A5C">
        <w:rPr>
          <w:color w:val="242424"/>
          <w:shd w:val="clear" w:color="auto" w:fill="FFFFFF"/>
        </w:rPr>
        <w:t xml:space="preserve"> og settar reglugerðir um áhættumat, áreiðanleikakönnun og einstaklinga í áhættuhópi vegna stjórnmálalegra tengsla með tilliti til aðgerða gegn </w:t>
      </w:r>
      <w:r w:rsidRPr="009D1A5C">
        <w:rPr>
          <w:color w:val="242424"/>
          <w:shd w:val="clear" w:color="auto" w:fill="FFFFFF"/>
        </w:rPr>
        <w:lastRenderedPageBreak/>
        <w:t>peningaþvætti og fjármögnun hryðjuverka.</w:t>
      </w:r>
      <w:r>
        <w:rPr>
          <w:color w:val="242424"/>
          <w:shd w:val="clear" w:color="auto" w:fill="FFFFFF"/>
        </w:rPr>
        <w:t xml:space="preserve"> </w:t>
      </w:r>
      <w:r w:rsidRPr="009D1A5C">
        <w:rPr>
          <w:color w:val="242424"/>
          <w:shd w:val="clear" w:color="auto" w:fill="FFFFFF"/>
        </w:rPr>
        <w:t xml:space="preserve">Baráttan gegn peningaþvætti, fjármögnun hryðjuverka og útbreiðslu og fjármögnun gereyðingarvopna er </w:t>
      </w:r>
      <w:r w:rsidR="00932C6A">
        <w:rPr>
          <w:color w:val="242424"/>
          <w:shd w:val="clear" w:color="auto" w:fill="FFFFFF"/>
        </w:rPr>
        <w:t>aftur á móti</w:t>
      </w:r>
      <w:r w:rsidRPr="009D1A5C">
        <w:rPr>
          <w:color w:val="242424"/>
          <w:shd w:val="clear" w:color="auto" w:fill="FFFFFF"/>
        </w:rPr>
        <w:t xml:space="preserve"> viðvarandi verkefni þar sem nýjar ógnir skjóta stöðugt upp kollinum, m.a. vegna örra tæknibreytinga. </w:t>
      </w:r>
    </w:p>
    <w:p w14:paraId="40F28BDD" w14:textId="5CFFAE49" w:rsidR="00594A6C" w:rsidRPr="009D1A5C" w:rsidRDefault="00594A6C" w:rsidP="00594A6C">
      <w:pPr>
        <w:rPr>
          <w:color w:val="242424"/>
          <w:shd w:val="clear" w:color="auto" w:fill="FFFFFF"/>
        </w:rPr>
      </w:pPr>
      <w:r w:rsidRPr="009D1A5C">
        <w:rPr>
          <w:color w:val="242424"/>
          <w:shd w:val="clear" w:color="auto" w:fill="FFFFFF"/>
        </w:rPr>
        <w:t xml:space="preserve">Ákvæði um </w:t>
      </w:r>
      <w:r w:rsidR="00932C6A">
        <w:rPr>
          <w:color w:val="242424"/>
          <w:shd w:val="clear" w:color="auto" w:fill="FFFFFF"/>
        </w:rPr>
        <w:t xml:space="preserve">þjónustuveitendur </w:t>
      </w:r>
      <w:r w:rsidRPr="009D1A5C">
        <w:rPr>
          <w:color w:val="242424"/>
          <w:shd w:val="clear" w:color="auto" w:fill="FFFFFF"/>
        </w:rPr>
        <w:t>sýndarf</w:t>
      </w:r>
      <w:r w:rsidR="00932C6A">
        <w:rPr>
          <w:color w:val="242424"/>
          <w:shd w:val="clear" w:color="auto" w:fill="FFFFFF"/>
        </w:rPr>
        <w:t>jár</w:t>
      </w:r>
      <w:r w:rsidRPr="009D1A5C">
        <w:rPr>
          <w:color w:val="242424"/>
          <w:shd w:val="clear" w:color="auto" w:fill="FFFFFF"/>
        </w:rPr>
        <w:t xml:space="preserve"> og stafrænna veskja voru fyrst lögfest árið 2018 á Íslandi</w:t>
      </w:r>
      <w:r>
        <w:rPr>
          <w:color w:val="242424"/>
          <w:shd w:val="clear" w:color="auto" w:fill="FFFFFF"/>
        </w:rPr>
        <w:t>, en þá voru í gildi lög um aðgerðir gegn peningaþvætti og fjármögnun hryðjuverka nr. 64/2006</w:t>
      </w:r>
      <w:r w:rsidRPr="009D1A5C">
        <w:rPr>
          <w:color w:val="242424"/>
          <w:shd w:val="clear" w:color="auto" w:fill="FFFFFF"/>
        </w:rPr>
        <w:t xml:space="preserve">. Fram að því hafði þeim sem veittu þjónustu vegna viðskipta milli sýndarfjár, rafeyris og gjaldmiðla og þjónustuveitendum stafrænna veskja ekki verið skylt að </w:t>
      </w:r>
      <w:r>
        <w:rPr>
          <w:color w:val="242424"/>
          <w:shd w:val="clear" w:color="auto" w:fill="FFFFFF"/>
        </w:rPr>
        <w:t>kanna</w:t>
      </w:r>
      <w:r w:rsidRPr="009D1A5C">
        <w:rPr>
          <w:color w:val="242424"/>
          <w:shd w:val="clear" w:color="auto" w:fill="FFFFFF"/>
        </w:rPr>
        <w:t xml:space="preserve"> viðskipti eða fyrirhuguð viðskipti sem grunur lék á að rekja mætti til peningaþvættis eða fjármögnunar hryðjuverka og tilkynna til lögreglu þar sem slík tengsl voru talin vera fyrir hendi. Á alþjóðavettvangi hafði þjónustuveitendum sýndarfjár </w:t>
      </w:r>
      <w:r w:rsidR="00932C6A">
        <w:rPr>
          <w:color w:val="242424"/>
          <w:shd w:val="clear" w:color="auto" w:fill="FFFFFF"/>
        </w:rPr>
        <w:t>aftur á móti</w:t>
      </w:r>
      <w:r w:rsidRPr="009D1A5C">
        <w:rPr>
          <w:color w:val="242424"/>
          <w:shd w:val="clear" w:color="auto" w:fill="FFFFFF"/>
        </w:rPr>
        <w:t xml:space="preserve"> fjölgað hratt og starfsemi af þessu tagi var þegar hafin hérlendis. </w:t>
      </w:r>
      <w:r>
        <w:rPr>
          <w:color w:val="242424"/>
          <w:shd w:val="clear" w:color="auto" w:fill="FFFFFF"/>
        </w:rPr>
        <w:t>Af þeim sökum</w:t>
      </w:r>
      <w:r w:rsidRPr="009D1A5C">
        <w:rPr>
          <w:color w:val="242424"/>
          <w:shd w:val="clear" w:color="auto" w:fill="FFFFFF"/>
        </w:rPr>
        <w:t xml:space="preserve"> var gildissviði </w:t>
      </w:r>
      <w:proofErr w:type="spellStart"/>
      <w:r w:rsidRPr="009D1A5C">
        <w:rPr>
          <w:color w:val="242424"/>
          <w:shd w:val="clear" w:color="auto" w:fill="FFFFFF"/>
        </w:rPr>
        <w:t>þágildandi</w:t>
      </w:r>
      <w:proofErr w:type="spellEnd"/>
      <w:r w:rsidRPr="009D1A5C">
        <w:rPr>
          <w:color w:val="242424"/>
          <w:shd w:val="clear" w:color="auto" w:fill="FFFFFF"/>
        </w:rPr>
        <w:t xml:space="preserve"> laga </w:t>
      </w:r>
      <w:r>
        <w:rPr>
          <w:color w:val="242424"/>
          <w:shd w:val="clear" w:color="auto" w:fill="FFFFFF"/>
        </w:rPr>
        <w:t>nr. 64/2006</w:t>
      </w:r>
      <w:r w:rsidRPr="009D1A5C">
        <w:rPr>
          <w:color w:val="242424"/>
          <w:shd w:val="clear" w:color="auto" w:fill="FFFFFF"/>
        </w:rPr>
        <w:t xml:space="preserve"> breytt og framangreindir þjónustuveitendur felldir undir lögin. </w:t>
      </w:r>
    </w:p>
    <w:p w14:paraId="33EC842A" w14:textId="70EDBDBC" w:rsidR="00594A6C" w:rsidRPr="009D1A5C" w:rsidRDefault="00594A6C" w:rsidP="00594A6C">
      <w:pPr>
        <w:rPr>
          <w:color w:val="242424"/>
          <w:shd w:val="clear" w:color="auto" w:fill="FFFFFF"/>
        </w:rPr>
      </w:pPr>
      <w:r w:rsidRPr="009D1A5C">
        <w:rPr>
          <w:color w:val="242424"/>
          <w:shd w:val="clear" w:color="auto" w:fill="FFFFFF"/>
        </w:rPr>
        <w:t>Með setningu nýrra heildarlaga um aðgerðir gegn peningaþvætti og fjármögnun hryðjuverka nr. 140/2018</w:t>
      </w:r>
      <w:r>
        <w:rPr>
          <w:color w:val="242424"/>
          <w:shd w:val="clear" w:color="auto" w:fill="FFFFFF"/>
        </w:rPr>
        <w:t>, sem tóku gildi 1. janúar 2019,</w:t>
      </w:r>
      <w:r w:rsidRPr="009D1A5C">
        <w:rPr>
          <w:color w:val="242424"/>
          <w:shd w:val="clear" w:color="auto" w:fill="FFFFFF"/>
        </w:rPr>
        <w:t xml:space="preserve"> var ekki lögð til breyting á skilgreiningum um sýndarfé og </w:t>
      </w:r>
      <w:r w:rsidR="00932C6A">
        <w:rPr>
          <w:color w:val="242424"/>
          <w:shd w:val="clear" w:color="auto" w:fill="FFFFFF"/>
        </w:rPr>
        <w:t xml:space="preserve">ákvæðum tengdum </w:t>
      </w:r>
      <w:r w:rsidRPr="009D1A5C">
        <w:rPr>
          <w:color w:val="242424"/>
          <w:shd w:val="clear" w:color="auto" w:fill="FFFFFF"/>
        </w:rPr>
        <w:t>þjónustuveitendum</w:t>
      </w:r>
      <w:r w:rsidR="00932C6A">
        <w:rPr>
          <w:color w:val="242424"/>
          <w:shd w:val="clear" w:color="auto" w:fill="FFFFFF"/>
        </w:rPr>
        <w:t xml:space="preserve"> sýndarfjár og</w:t>
      </w:r>
      <w:r w:rsidRPr="009D1A5C">
        <w:rPr>
          <w:color w:val="242424"/>
          <w:shd w:val="clear" w:color="auto" w:fill="FFFFFF"/>
        </w:rPr>
        <w:t xml:space="preserve"> stafrænna veskja. Á vettvangi FATF hefur þróunin varðandi sýndareignir hins vegar verið hröð</w:t>
      </w:r>
      <w:r w:rsidR="00932C6A">
        <w:rPr>
          <w:color w:val="242424"/>
          <w:shd w:val="clear" w:color="auto" w:fill="FFFFFF"/>
        </w:rPr>
        <w:t xml:space="preserve">. </w:t>
      </w:r>
      <w:r>
        <w:rPr>
          <w:color w:val="242424"/>
          <w:shd w:val="clear" w:color="auto" w:fill="FFFFFF"/>
        </w:rPr>
        <w:t>Líkt og áður greinir voru gerðar</w:t>
      </w:r>
      <w:r w:rsidRPr="009D1A5C">
        <w:rPr>
          <w:color w:val="242424"/>
          <w:shd w:val="clear" w:color="auto" w:fill="FFFFFF"/>
        </w:rPr>
        <w:t xml:space="preserve"> töluverðar breytingar á tilmælum FATF varðandi sýndareignir á árinu 2019, meðal annars í þeim tilgangi að ná utan um öra tækniþróun í málaflokknum. Með vísan til þeirra breytinga og þeirrar þróunar sem orðið hefur í málaflokknum á undanförnum tveimur árum, </w:t>
      </w:r>
      <w:r>
        <w:rPr>
          <w:color w:val="242424"/>
          <w:shd w:val="clear" w:color="auto" w:fill="FFFFFF"/>
        </w:rPr>
        <w:t>er nauðsynlegt</w:t>
      </w:r>
      <w:r w:rsidRPr="009D1A5C">
        <w:rPr>
          <w:color w:val="242424"/>
          <w:shd w:val="clear" w:color="auto" w:fill="FFFFFF"/>
        </w:rPr>
        <w:t xml:space="preserve"> að gera breytingar á ákvæðum laga um aðgerðir gegn peningaþvætti og fjármögnun hryðjuverka sem varða sýndarfé og þjónustuveitendur sýndarfjár. </w:t>
      </w:r>
    </w:p>
    <w:p w14:paraId="139701CC" w14:textId="77777777" w:rsidR="00594A6C" w:rsidRDefault="00594A6C" w:rsidP="00594A6C">
      <w:pPr>
        <w:rPr>
          <w:color w:val="242424"/>
          <w:shd w:val="clear" w:color="auto" w:fill="FFFFFF"/>
        </w:rPr>
      </w:pPr>
      <w:r w:rsidRPr="009D1A5C">
        <w:rPr>
          <w:color w:val="242424"/>
          <w:shd w:val="clear" w:color="auto" w:fill="FFFFFF"/>
        </w:rPr>
        <w:t>Samhliða ofangreindum breytingum á ákvæðum laganna um sýndareignir eru í frumvarpinu lagðar til afmarkaðar breytingar á ákvæðum laganna sem byggja á reynslu af beitingu þeirra.</w:t>
      </w:r>
      <w:r>
        <w:rPr>
          <w:color w:val="242424"/>
          <w:shd w:val="clear" w:color="auto" w:fill="FFFFFF"/>
        </w:rPr>
        <w:t xml:space="preserve"> Er þar fyrst og fremst um að ræða breytingar sem ætlað er að skýra þær kröfur sem gerðar </w:t>
      </w:r>
      <w:r w:rsidRPr="004804D0">
        <w:rPr>
          <w:color w:val="242424"/>
          <w:shd w:val="clear" w:color="auto" w:fill="FFFFFF"/>
        </w:rPr>
        <w:t>eru til tilkynningarskyldra aðila þegar kemur að gerð áhættumats, en einnig eru lagðar til breytingar á nánar tilgreindum ákvæðum sem lúta að áreiðanleikakönnun slíkra aðila.</w:t>
      </w:r>
      <w:r>
        <w:rPr>
          <w:color w:val="242424"/>
          <w:shd w:val="clear" w:color="auto" w:fill="FFFFFF"/>
        </w:rPr>
        <w:t xml:space="preserve"> Í báðum tilvikum er um að ræða grundvallaraðgerðir af hálfu tilkynningarskyldra aðila og því mikilvægt að þær kröfur sem gerðar eru til þeirra í lögum hvað þetta varðar, séu eins skýrar og unnt er.</w:t>
      </w:r>
    </w:p>
    <w:p w14:paraId="232CADFA" w14:textId="77777777" w:rsidR="00594A6C" w:rsidRDefault="00594A6C" w:rsidP="00594A6C">
      <w:pPr>
        <w:rPr>
          <w:color w:val="242424"/>
          <w:shd w:val="clear" w:color="auto" w:fill="FFFFFF"/>
        </w:rPr>
      </w:pPr>
      <w:r>
        <w:rPr>
          <w:color w:val="242424"/>
          <w:shd w:val="clear" w:color="auto" w:fill="FFFFFF"/>
        </w:rPr>
        <w:t xml:space="preserve">Í lok árs 2019 hóf ESA, eftirlitsstofnun EFTA, úttekt á innleiðingu fjórðu peningaþvættistilskipunarinnar </w:t>
      </w:r>
      <w:r w:rsidRPr="009B2191">
        <w:rPr>
          <w:color w:val="242424"/>
          <w:shd w:val="clear" w:color="auto" w:fill="FFFFFF"/>
        </w:rPr>
        <w:t>(2015/849/EB)</w:t>
      </w:r>
      <w:r>
        <w:rPr>
          <w:color w:val="242424"/>
          <w:shd w:val="clear" w:color="auto" w:fill="FFFFFF"/>
        </w:rPr>
        <w:t xml:space="preserve"> hér á landi. Í kjölfar úttektarinnar gerði ESA athugasemdir sem lutu að því að tiltekin ákvæði tilskipunarinnar hefðu ekki verið réttilega innleidd í lög hér á landi. Í þessu frumvarpi er brugðist við þeim athugasemdum í því skyni að tryggja fullnægjandi innleiðingu tilskipunarinnar í íslenskan rétt. </w:t>
      </w:r>
      <w:r w:rsidRPr="008B23D9">
        <w:rPr>
          <w:color w:val="242424"/>
          <w:shd w:val="clear" w:color="auto" w:fill="FFFFFF"/>
        </w:rPr>
        <w:t>Hefur í þeim efnum jafnframt verið tekið tillit til þeirra breytinga sem gerðar voru á nefndri tilskipun með fimmtu peningaþvættistilskipuninni (2018/843/EB). Ísland hefur aflétt stjórnskipulegum fyrirvara vegna síðarnefndrar tilskipunar en hún hefur ekki verið tekin formlega upp í EES-samninginn.</w:t>
      </w:r>
    </w:p>
    <w:p w14:paraId="041B1283" w14:textId="77777777" w:rsidR="00594A6C" w:rsidRPr="009D1A5C" w:rsidRDefault="00594A6C" w:rsidP="00594A6C">
      <w:pPr>
        <w:rPr>
          <w:color w:val="242424"/>
          <w:shd w:val="clear" w:color="auto" w:fill="FFFFFF"/>
        </w:rPr>
      </w:pPr>
      <w:r>
        <w:rPr>
          <w:color w:val="242424"/>
          <w:shd w:val="clear" w:color="auto" w:fill="FFFFFF"/>
        </w:rPr>
        <w:t xml:space="preserve">Að lokum eru lagðar til breytingar á tilteknum ákvæðum XII. kafla laganna, sem fjallar um viðurlög og þvingunarúrræði. Umræddar breytingar lúta að því að taka af vafa um að málsmeðferðarákvæði kaflans taki bæði til stjórnvaldssekta og annarra þeirra viðurlaga sem unnt er að grípa til vegna brota á ákvæðum laganna, þ.e. </w:t>
      </w:r>
      <w:proofErr w:type="spellStart"/>
      <w:r>
        <w:rPr>
          <w:color w:val="242424"/>
          <w:shd w:val="clear" w:color="auto" w:fill="FFFFFF"/>
        </w:rPr>
        <w:t>brottvikningu</w:t>
      </w:r>
      <w:proofErr w:type="spellEnd"/>
      <w:r>
        <w:rPr>
          <w:color w:val="242424"/>
          <w:shd w:val="clear" w:color="auto" w:fill="FFFFFF"/>
        </w:rPr>
        <w:t xml:space="preserve"> stjórnar og framkvæmdastjóra, sbr. 50. gr. og afturköllun starfsleyfis eða skráningar, sbr. 51. gr. Þannig eiga t.d. sömu sjónarmið við þegar kemur að fresti eftirlitsaðila samkvæmt 49. gr. laganna til að leggja á stjórnvaldssektir og afturkalla starfsleyfi. Gildir það sama um rétt einstaklinga til að fella ekki á sig sök samkvæmt 48. gr., hvort heldur sem máli getur lokið með stjórnvaldssekt eða </w:t>
      </w:r>
      <w:proofErr w:type="spellStart"/>
      <w:r>
        <w:rPr>
          <w:color w:val="242424"/>
          <w:shd w:val="clear" w:color="auto" w:fill="FFFFFF"/>
        </w:rPr>
        <w:t>brottvikningu</w:t>
      </w:r>
      <w:proofErr w:type="spellEnd"/>
      <w:r>
        <w:rPr>
          <w:color w:val="242424"/>
          <w:shd w:val="clear" w:color="auto" w:fill="FFFFFF"/>
        </w:rPr>
        <w:t xml:space="preserve">.  Að gildandi lögum eiga nefnd ákvæði hins vegar einungis við þegar um </w:t>
      </w:r>
      <w:r>
        <w:rPr>
          <w:color w:val="242424"/>
          <w:shd w:val="clear" w:color="auto" w:fill="FFFFFF"/>
        </w:rPr>
        <w:lastRenderedPageBreak/>
        <w:t xml:space="preserve">álagningu stjórnvaldssekta er að ræða. Er því nauðsynlegt að breyta þeim ákvæðum kaflans sem að þessu lúta. Er rétt að taka fram að sömu sjónarmið eiga ekki við þegar um álagningu dagsekta er að ræða, enda teljast dagsektir til þvingunarúrræða en ekki viðurlaga. </w:t>
      </w:r>
    </w:p>
    <w:p w14:paraId="1DA1D208" w14:textId="77777777" w:rsidR="00594A6C" w:rsidRPr="009D1A5C" w:rsidRDefault="00594A6C" w:rsidP="00594A6C">
      <w:pPr>
        <w:rPr>
          <w:color w:val="242424"/>
          <w:shd w:val="clear" w:color="auto" w:fill="FFFFFF"/>
        </w:rPr>
      </w:pPr>
    </w:p>
    <w:p w14:paraId="64033759" w14:textId="77777777" w:rsidR="00594A6C" w:rsidRPr="009D1A5C" w:rsidRDefault="00594A6C" w:rsidP="00594A6C">
      <w:pPr>
        <w:rPr>
          <w:b/>
        </w:rPr>
      </w:pPr>
      <w:r w:rsidRPr="009D1A5C">
        <w:rPr>
          <w:b/>
        </w:rPr>
        <w:t xml:space="preserve">3. Meginefni frumvarpsins. </w:t>
      </w:r>
    </w:p>
    <w:p w14:paraId="6A6F453E" w14:textId="77777777" w:rsidR="00594A6C" w:rsidRPr="00146445" w:rsidRDefault="00594A6C" w:rsidP="00594A6C">
      <w:pPr>
        <w:rPr>
          <w:color w:val="242424"/>
          <w:shd w:val="clear" w:color="auto" w:fill="FFFFFF"/>
        </w:rPr>
      </w:pPr>
      <w:r w:rsidRPr="009D1A5C">
        <w:rPr>
          <w:color w:val="242424"/>
          <w:shd w:val="clear" w:color="auto" w:fill="FFFFFF"/>
        </w:rPr>
        <w:tab/>
      </w:r>
      <w:r>
        <w:rPr>
          <w:color w:val="242424"/>
          <w:shd w:val="clear" w:color="auto" w:fill="FFFFFF"/>
        </w:rPr>
        <w:t>Líkt og áður greinir eru með frumvarpinu lagðar til breytingar á tilteknum ákvæðum</w:t>
      </w:r>
      <w:r w:rsidRPr="00843BA2">
        <w:rPr>
          <w:color w:val="242424"/>
          <w:shd w:val="clear" w:color="auto" w:fill="FFFFFF"/>
        </w:rPr>
        <w:t xml:space="preserve"> </w:t>
      </w:r>
      <w:r>
        <w:rPr>
          <w:color w:val="242424"/>
          <w:shd w:val="clear" w:color="auto" w:fill="FFFFFF"/>
        </w:rPr>
        <w:t>laga</w:t>
      </w:r>
      <w:r w:rsidRPr="00843BA2">
        <w:rPr>
          <w:color w:val="242424"/>
          <w:shd w:val="clear" w:color="auto" w:fill="FFFFFF"/>
        </w:rPr>
        <w:t xml:space="preserve"> um aðgerðir gegn peningaþvætti og fjármögnun hryðjuverka, nr. 140/2018, </w:t>
      </w:r>
      <w:r>
        <w:rPr>
          <w:color w:val="242424"/>
          <w:shd w:val="clear" w:color="auto" w:fill="FFFFFF"/>
        </w:rPr>
        <w:t>en segja má að meginefni frumvarpsins sé fjórþætt. Í fyrsta lagi eru lagðar til</w:t>
      </w:r>
      <w:r w:rsidRPr="00146445">
        <w:rPr>
          <w:color w:val="242424"/>
          <w:shd w:val="clear" w:color="auto" w:fill="FFFFFF"/>
        </w:rPr>
        <w:t xml:space="preserve"> breytingar á ákvæðum laganna um sýndarfé. Breytingarnar lúta einkum að skilgreiningum á sýndarfé og þjónustuveitendum sýndarfjár, sbr. 2. og 3. gr. laga nr. 140/2018, skráningarskyldu þjónustuveitenda sýndarfjár, sbr. 35. gr. laganna og skilyrð</w:t>
      </w:r>
      <w:r>
        <w:rPr>
          <w:color w:val="242424"/>
          <w:shd w:val="clear" w:color="auto" w:fill="FFFFFF"/>
        </w:rPr>
        <w:t>um</w:t>
      </w:r>
      <w:r w:rsidRPr="00146445">
        <w:rPr>
          <w:color w:val="242424"/>
          <w:shd w:val="clear" w:color="auto" w:fill="FFFFFF"/>
        </w:rPr>
        <w:t xml:space="preserve"> varðandi áreiðanleikakönnun um upplýsingar sem þurfa að fylgja með viðskiptum með sýndarfé. Þá </w:t>
      </w:r>
      <w:r>
        <w:rPr>
          <w:color w:val="242424"/>
          <w:shd w:val="clear" w:color="auto" w:fill="FFFFFF"/>
        </w:rPr>
        <w:t>eru lagðar til</w:t>
      </w:r>
      <w:r w:rsidRPr="00146445">
        <w:rPr>
          <w:color w:val="242424"/>
          <w:shd w:val="clear" w:color="auto" w:fill="FFFFFF"/>
        </w:rPr>
        <w:t xml:space="preserve"> breytingar á 8. gr.</w:t>
      </w:r>
      <w:r>
        <w:rPr>
          <w:color w:val="242424"/>
          <w:shd w:val="clear" w:color="auto" w:fill="FFFFFF"/>
        </w:rPr>
        <w:t xml:space="preserve"> laganna</w:t>
      </w:r>
      <w:r w:rsidRPr="00146445">
        <w:rPr>
          <w:color w:val="242424"/>
          <w:shd w:val="clear" w:color="auto" w:fill="FFFFFF"/>
        </w:rPr>
        <w:t xml:space="preserve"> </w:t>
      </w:r>
      <w:r>
        <w:rPr>
          <w:color w:val="242424"/>
          <w:shd w:val="clear" w:color="auto" w:fill="FFFFFF"/>
        </w:rPr>
        <w:t xml:space="preserve">um </w:t>
      </w:r>
      <w:r w:rsidRPr="00146445">
        <w:rPr>
          <w:color w:val="242424"/>
          <w:shd w:val="clear" w:color="auto" w:fill="FFFFFF"/>
        </w:rPr>
        <w:t xml:space="preserve">fjárhæðarmörk þegar kemur að áreiðanleikakönnun </w:t>
      </w:r>
      <w:r>
        <w:rPr>
          <w:color w:val="242424"/>
          <w:shd w:val="clear" w:color="auto" w:fill="FFFFFF"/>
        </w:rPr>
        <w:t>vegna viðskipta</w:t>
      </w:r>
      <w:r w:rsidRPr="00146445">
        <w:rPr>
          <w:color w:val="242424"/>
          <w:shd w:val="clear" w:color="auto" w:fill="FFFFFF"/>
        </w:rPr>
        <w:t xml:space="preserve"> með sýndareignir.  </w:t>
      </w:r>
    </w:p>
    <w:p w14:paraId="49C05BA7" w14:textId="77777777" w:rsidR="00594A6C" w:rsidRDefault="00594A6C" w:rsidP="00594A6C">
      <w:pPr>
        <w:rPr>
          <w:color w:val="242424"/>
          <w:shd w:val="clear" w:color="auto" w:fill="FFFFFF"/>
        </w:rPr>
      </w:pPr>
      <w:r w:rsidRPr="00146445">
        <w:rPr>
          <w:color w:val="242424"/>
          <w:shd w:val="clear" w:color="auto" w:fill="FFFFFF"/>
        </w:rPr>
        <w:t xml:space="preserve">Í öðru lagi </w:t>
      </w:r>
      <w:r>
        <w:rPr>
          <w:color w:val="242424"/>
          <w:shd w:val="clear" w:color="auto" w:fill="FFFFFF"/>
        </w:rPr>
        <w:t>eru lagðar til</w:t>
      </w:r>
      <w:r w:rsidRPr="00146445">
        <w:rPr>
          <w:color w:val="242424"/>
          <w:shd w:val="clear" w:color="auto" w:fill="FFFFFF"/>
        </w:rPr>
        <w:t xml:space="preserve"> afmarkaðar breytingar á nokkrum ákvæðum </w:t>
      </w:r>
      <w:r>
        <w:rPr>
          <w:color w:val="242424"/>
          <w:shd w:val="clear" w:color="auto" w:fill="FFFFFF"/>
        </w:rPr>
        <w:t>laganna</w:t>
      </w:r>
      <w:r w:rsidRPr="00146445">
        <w:rPr>
          <w:color w:val="242424"/>
          <w:shd w:val="clear" w:color="auto" w:fill="FFFFFF"/>
        </w:rPr>
        <w:t xml:space="preserve"> með hliðsjón af þeirri reynslu sem orðin er af framkvæmd þeirra. Er þar fyrst og fremst um að ræða breytingar á 5. gr. laganna sem fjallar um áhættumat tilkynningarskyldra aðila, en þær </w:t>
      </w:r>
      <w:r>
        <w:rPr>
          <w:color w:val="242424"/>
          <w:shd w:val="clear" w:color="auto" w:fill="FFFFFF"/>
        </w:rPr>
        <w:t>breytingar sem lagðar eru til á nefndu ákvæði lúta einkum að:</w:t>
      </w:r>
      <w:r w:rsidRPr="00146445">
        <w:rPr>
          <w:color w:val="242424"/>
          <w:shd w:val="clear" w:color="auto" w:fill="FFFFFF"/>
        </w:rPr>
        <w:t xml:space="preserve"> </w:t>
      </w:r>
    </w:p>
    <w:p w14:paraId="7388E05E" w14:textId="77777777" w:rsidR="00594A6C" w:rsidRDefault="00594A6C" w:rsidP="00594A6C">
      <w:pPr>
        <w:pStyle w:val="Mlsgreinlista"/>
        <w:numPr>
          <w:ilvl w:val="0"/>
          <w:numId w:val="28"/>
        </w:numPr>
        <w:rPr>
          <w:color w:val="242424"/>
          <w:shd w:val="clear" w:color="auto" w:fill="FFFFFF"/>
        </w:rPr>
      </w:pPr>
      <w:r>
        <w:rPr>
          <w:color w:val="242424"/>
          <w:shd w:val="clear" w:color="auto" w:fill="FFFFFF"/>
        </w:rPr>
        <w:t>n</w:t>
      </w:r>
      <w:r w:rsidRPr="007240F7">
        <w:rPr>
          <w:color w:val="242424"/>
          <w:shd w:val="clear" w:color="auto" w:fill="FFFFFF"/>
        </w:rPr>
        <w:t>ánari útfærslu á þeirri kröfu um gerð áhættumats sem gerð er til tilkynningarskyldra aðila</w:t>
      </w:r>
      <w:r>
        <w:rPr>
          <w:color w:val="242424"/>
          <w:shd w:val="clear" w:color="auto" w:fill="FFFFFF"/>
        </w:rPr>
        <w:t>,</w:t>
      </w:r>
    </w:p>
    <w:p w14:paraId="65147A05" w14:textId="77777777" w:rsidR="00594A6C" w:rsidRDefault="00594A6C" w:rsidP="00594A6C">
      <w:pPr>
        <w:pStyle w:val="Mlsgreinlista"/>
        <w:numPr>
          <w:ilvl w:val="0"/>
          <w:numId w:val="28"/>
        </w:numPr>
        <w:rPr>
          <w:color w:val="242424"/>
          <w:shd w:val="clear" w:color="auto" w:fill="FFFFFF"/>
        </w:rPr>
      </w:pPr>
      <w:r>
        <w:rPr>
          <w:color w:val="242424"/>
          <w:shd w:val="clear" w:color="auto" w:fill="FFFFFF"/>
        </w:rPr>
        <w:t>áréttingu á muninum</w:t>
      </w:r>
      <w:r w:rsidRPr="007240F7">
        <w:rPr>
          <w:color w:val="242424"/>
          <w:shd w:val="clear" w:color="auto" w:fill="FFFFFF"/>
        </w:rPr>
        <w:t xml:space="preserve"> á áhættumati á rekstri tilkynningarskyldra aðila annars vegar og viðskiptum þeirra og samningssamböndum hins vegar, m.a. með uppskiptingu ákvæðisins</w:t>
      </w:r>
      <w:r>
        <w:rPr>
          <w:color w:val="242424"/>
          <w:shd w:val="clear" w:color="auto" w:fill="FFFFFF"/>
        </w:rPr>
        <w:t xml:space="preserve"> því til samræmis,</w:t>
      </w:r>
    </w:p>
    <w:p w14:paraId="5D9A0607" w14:textId="77777777" w:rsidR="00594A6C" w:rsidRPr="007240F7" w:rsidRDefault="00594A6C" w:rsidP="00594A6C">
      <w:pPr>
        <w:pStyle w:val="Mlsgreinlista"/>
        <w:numPr>
          <w:ilvl w:val="0"/>
          <w:numId w:val="28"/>
        </w:numPr>
        <w:rPr>
          <w:color w:val="242424"/>
          <w:shd w:val="clear" w:color="auto" w:fill="FFFFFF"/>
        </w:rPr>
      </w:pPr>
      <w:r>
        <w:rPr>
          <w:color w:val="242424"/>
          <w:shd w:val="clear" w:color="auto" w:fill="FFFFFF"/>
        </w:rPr>
        <w:t>frekari skýringum á því hvað</w:t>
      </w:r>
      <w:r w:rsidRPr="007240F7">
        <w:rPr>
          <w:color w:val="242424"/>
          <w:shd w:val="clear" w:color="auto" w:fill="FFFFFF"/>
        </w:rPr>
        <w:t xml:space="preserve"> fjallað skuli um í áhættumati, m.a. með því að telja upp tiltekin atriði sem þar eiga að koma fram.</w:t>
      </w:r>
    </w:p>
    <w:p w14:paraId="78E6302D" w14:textId="77777777" w:rsidR="00594A6C" w:rsidRPr="00146445" w:rsidRDefault="00594A6C" w:rsidP="00594A6C">
      <w:pPr>
        <w:rPr>
          <w:color w:val="242424"/>
          <w:shd w:val="clear" w:color="auto" w:fill="FFFFFF"/>
        </w:rPr>
      </w:pPr>
      <w:r w:rsidRPr="00146445">
        <w:rPr>
          <w:color w:val="242424"/>
          <w:shd w:val="clear" w:color="auto" w:fill="FFFFFF"/>
        </w:rPr>
        <w:t>Í sama tilgangi verða gerðar minniháttar breytingar á 10. og 11. gr. laganna, til skýringar á kröfum um könnun á áreiðanleika viðskiptamanna og staðfestingu á upplýsingum þar um og 13. gr.</w:t>
      </w:r>
      <w:r>
        <w:rPr>
          <w:color w:val="242424"/>
          <w:shd w:val="clear" w:color="auto" w:fill="FFFFFF"/>
        </w:rPr>
        <w:t xml:space="preserve"> laganna</w:t>
      </w:r>
      <w:r w:rsidRPr="00146445">
        <w:rPr>
          <w:color w:val="242424"/>
          <w:shd w:val="clear" w:color="auto" w:fill="FFFFFF"/>
        </w:rPr>
        <w:t xml:space="preserve"> til skýringar á því hvað felst í aukinni áreiðanleikakönnun. Þá verða gerðar orðalagsbreytingar á 14., 18., 33. og 34. gr.</w:t>
      </w:r>
      <w:r>
        <w:rPr>
          <w:color w:val="242424"/>
          <w:shd w:val="clear" w:color="auto" w:fill="FFFFFF"/>
        </w:rPr>
        <w:t xml:space="preserve"> Vísast til athugasemda við þær greinar varðandi nánari umfjöllun þar um. </w:t>
      </w:r>
    </w:p>
    <w:p w14:paraId="31D3354B" w14:textId="77777777" w:rsidR="00594A6C" w:rsidRPr="00146445" w:rsidRDefault="00594A6C" w:rsidP="00594A6C">
      <w:pPr>
        <w:rPr>
          <w:color w:val="242424"/>
          <w:shd w:val="clear" w:color="auto" w:fill="FFFFFF"/>
        </w:rPr>
      </w:pPr>
      <w:r w:rsidRPr="00146445">
        <w:rPr>
          <w:color w:val="242424"/>
          <w:shd w:val="clear" w:color="auto" w:fill="FFFFFF"/>
        </w:rPr>
        <w:t xml:space="preserve">Í þriðja lagi eru </w:t>
      </w:r>
      <w:r>
        <w:rPr>
          <w:color w:val="242424"/>
          <w:shd w:val="clear" w:color="auto" w:fill="FFFFFF"/>
        </w:rPr>
        <w:t xml:space="preserve">lagðar til </w:t>
      </w:r>
      <w:r w:rsidRPr="00146445">
        <w:rPr>
          <w:color w:val="242424"/>
          <w:shd w:val="clear" w:color="auto" w:fill="FFFFFF"/>
        </w:rPr>
        <w:t xml:space="preserve">breytingar til að bregðast við athugasemdum </w:t>
      </w:r>
      <w:r>
        <w:rPr>
          <w:color w:val="242424"/>
          <w:shd w:val="clear" w:color="auto" w:fill="FFFFFF"/>
        </w:rPr>
        <w:t>sem ESA gerði í kjölfar áðurnefndrar</w:t>
      </w:r>
      <w:r w:rsidRPr="00146445">
        <w:rPr>
          <w:color w:val="242424"/>
          <w:shd w:val="clear" w:color="auto" w:fill="FFFFFF"/>
        </w:rPr>
        <w:t xml:space="preserve"> úttektar</w:t>
      </w:r>
      <w:r>
        <w:rPr>
          <w:color w:val="242424"/>
          <w:shd w:val="clear" w:color="auto" w:fill="FFFFFF"/>
        </w:rPr>
        <w:t xml:space="preserve"> sinnar</w:t>
      </w:r>
      <w:r w:rsidRPr="00146445">
        <w:rPr>
          <w:color w:val="242424"/>
          <w:shd w:val="clear" w:color="auto" w:fill="FFFFFF"/>
        </w:rPr>
        <w:t xml:space="preserve"> á innleiðingu fjórðu peningaþvættistilskipunarinnar</w:t>
      </w:r>
      <w:r>
        <w:rPr>
          <w:color w:val="242424"/>
          <w:shd w:val="clear" w:color="auto" w:fill="FFFFFF"/>
        </w:rPr>
        <w:t xml:space="preserve"> </w:t>
      </w:r>
      <w:r w:rsidRPr="00D87BB7">
        <w:rPr>
          <w:color w:val="242424"/>
          <w:shd w:val="clear" w:color="auto" w:fill="FFFFFF"/>
        </w:rPr>
        <w:t>(2015/849/EB)</w:t>
      </w:r>
      <w:r w:rsidRPr="00146445">
        <w:rPr>
          <w:color w:val="242424"/>
          <w:shd w:val="clear" w:color="auto" w:fill="FFFFFF"/>
        </w:rPr>
        <w:t xml:space="preserve"> hér á landi. Lúta þær annars vegar að því að skilgreina hugtökin „</w:t>
      </w:r>
      <w:proofErr w:type="spellStart"/>
      <w:r w:rsidRPr="00146445">
        <w:rPr>
          <w:color w:val="242424"/>
          <w:shd w:val="clear" w:color="auto" w:fill="FFFFFF"/>
        </w:rPr>
        <w:t>rafeyri</w:t>
      </w:r>
      <w:proofErr w:type="spellEnd"/>
      <w:r w:rsidRPr="00146445">
        <w:rPr>
          <w:color w:val="242424"/>
          <w:shd w:val="clear" w:color="auto" w:fill="FFFFFF"/>
        </w:rPr>
        <w:t>“, „samningssamband“ og „samstæður“ sérstaklega í 3. gr. laganna og hins vegar að leiðréttingum á ákvæðum 9. og 27. gr. laganna til samræmis við orðalag</w:t>
      </w:r>
      <w:r>
        <w:rPr>
          <w:color w:val="242424"/>
          <w:shd w:val="clear" w:color="auto" w:fill="FFFFFF"/>
        </w:rPr>
        <w:t xml:space="preserve"> og efniskröfur fjórðu peningaþvættistilskipunarinnar </w:t>
      </w:r>
      <w:r w:rsidRPr="00D87BB7">
        <w:rPr>
          <w:color w:val="242424"/>
          <w:shd w:val="clear" w:color="auto" w:fill="FFFFFF"/>
        </w:rPr>
        <w:t>(2015/849/EB)</w:t>
      </w:r>
      <w:r w:rsidRPr="00146445">
        <w:rPr>
          <w:color w:val="242424"/>
          <w:shd w:val="clear" w:color="auto" w:fill="FFFFFF"/>
        </w:rPr>
        <w:t xml:space="preserve">. </w:t>
      </w:r>
    </w:p>
    <w:p w14:paraId="0EB05D55" w14:textId="77777777" w:rsidR="00594A6C" w:rsidRDefault="00594A6C" w:rsidP="00594A6C">
      <w:pPr>
        <w:rPr>
          <w:color w:val="242424"/>
          <w:shd w:val="clear" w:color="auto" w:fill="FFFFFF"/>
        </w:rPr>
      </w:pPr>
      <w:r>
        <w:rPr>
          <w:color w:val="242424"/>
          <w:shd w:val="clear" w:color="auto" w:fill="FFFFFF"/>
        </w:rPr>
        <w:t>Þá eru</w:t>
      </w:r>
      <w:r w:rsidRPr="00146445">
        <w:rPr>
          <w:color w:val="242424"/>
          <w:shd w:val="clear" w:color="auto" w:fill="FFFFFF"/>
        </w:rPr>
        <w:t xml:space="preserve"> í fjórða lagi </w:t>
      </w:r>
      <w:r>
        <w:rPr>
          <w:color w:val="242424"/>
          <w:shd w:val="clear" w:color="auto" w:fill="FFFFFF"/>
        </w:rPr>
        <w:t xml:space="preserve">lagðar til breytingar á </w:t>
      </w:r>
      <w:r w:rsidRPr="00146445">
        <w:rPr>
          <w:color w:val="242424"/>
          <w:shd w:val="clear" w:color="auto" w:fill="FFFFFF"/>
        </w:rPr>
        <w:t>tilteknum ákvæðum í viðurlagakafla laganna. Lúta þær breytingar fyrst og fremst að því að árétta að umrædd ákvæði laganna eiga einnig við um önnur viðurlög heldur en stjórnvaldssektir, en núgildandi ákvæði eru óskýr þar um.</w:t>
      </w:r>
      <w:r>
        <w:rPr>
          <w:color w:val="242424"/>
          <w:shd w:val="clear" w:color="auto" w:fill="FFFFFF"/>
        </w:rPr>
        <w:t xml:space="preserve"> Vísast að öðru leyti til umfjöllunar um nauðsyn þeirra breytinga í 2. kafla frumvarpsins hér að framan, svo og til athugasemda með þeim greinum frumvarpsins sem að þessu snúa. </w:t>
      </w:r>
    </w:p>
    <w:p w14:paraId="1EF94C9D" w14:textId="77777777" w:rsidR="00594A6C" w:rsidRPr="009D1A5C" w:rsidRDefault="00594A6C" w:rsidP="00594A6C"/>
    <w:p w14:paraId="5CFCE87E" w14:textId="77777777" w:rsidR="00594A6C" w:rsidRPr="009D1A5C" w:rsidRDefault="00594A6C" w:rsidP="00594A6C">
      <w:pPr>
        <w:rPr>
          <w:b/>
        </w:rPr>
      </w:pPr>
      <w:r w:rsidRPr="009D1A5C">
        <w:rPr>
          <w:b/>
        </w:rPr>
        <w:t xml:space="preserve">4. Samræmi við stjórnarskrá og alþjóðlegar skuldbindingar. </w:t>
      </w:r>
    </w:p>
    <w:p w14:paraId="6D701239" w14:textId="77777777" w:rsidR="00594A6C" w:rsidRPr="009D1A5C" w:rsidRDefault="00594A6C" w:rsidP="00594A6C">
      <w:pPr>
        <w:rPr>
          <w:color w:val="242424"/>
          <w:shd w:val="clear" w:color="auto" w:fill="FFFFFF"/>
        </w:rPr>
      </w:pPr>
      <w:r w:rsidRPr="009D1A5C">
        <w:rPr>
          <w:color w:val="242424"/>
          <w:shd w:val="clear" w:color="auto" w:fill="FFFFFF"/>
        </w:rPr>
        <w:t xml:space="preserve">    Efni frumvarpsins gefur ekki sérstaka ástæðu til að ætla að það fari gegn ákvæðum stjórnarskrár lýðveldisins Íslands, nr. 33/1944. </w:t>
      </w:r>
    </w:p>
    <w:p w14:paraId="7F77F67C" w14:textId="77777777" w:rsidR="00594A6C" w:rsidRPr="009D1A5C" w:rsidRDefault="00594A6C" w:rsidP="00594A6C">
      <w:pPr>
        <w:rPr>
          <w:color w:val="242424"/>
          <w:shd w:val="clear" w:color="auto" w:fill="FFFFFF"/>
        </w:rPr>
      </w:pPr>
      <w:r w:rsidRPr="009D1A5C">
        <w:rPr>
          <w:color w:val="242424"/>
          <w:shd w:val="clear" w:color="auto" w:fill="FFFFFF"/>
        </w:rPr>
        <w:t xml:space="preserve">Frumvarpinu er </w:t>
      </w:r>
      <w:r>
        <w:rPr>
          <w:color w:val="242424"/>
          <w:shd w:val="clear" w:color="auto" w:fill="FFFFFF"/>
        </w:rPr>
        <w:t xml:space="preserve">m.a. </w:t>
      </w:r>
      <w:r w:rsidRPr="009D1A5C">
        <w:rPr>
          <w:color w:val="242424"/>
          <w:shd w:val="clear" w:color="auto" w:fill="FFFFFF"/>
        </w:rPr>
        <w:t>ætlað að tryggja að Ísland uppfylli þær skuldbindingar sem það hefur undirgengist með aðild sinni að FATF</w:t>
      </w:r>
      <w:r>
        <w:rPr>
          <w:color w:val="242424"/>
          <w:shd w:val="clear" w:color="auto" w:fill="FFFFFF"/>
        </w:rPr>
        <w:t xml:space="preserve"> og á grundvelli EES-samningsins</w:t>
      </w:r>
      <w:r w:rsidRPr="009D1A5C">
        <w:rPr>
          <w:color w:val="242424"/>
          <w:shd w:val="clear" w:color="auto" w:fill="FFFFFF"/>
        </w:rPr>
        <w:t>.</w:t>
      </w:r>
    </w:p>
    <w:p w14:paraId="3837F4E6" w14:textId="77777777" w:rsidR="00594A6C" w:rsidRPr="009D1A5C" w:rsidRDefault="00594A6C" w:rsidP="00594A6C">
      <w:pPr>
        <w:rPr>
          <w:color w:val="242424"/>
          <w:shd w:val="clear" w:color="auto" w:fill="FFFFFF"/>
        </w:rPr>
      </w:pPr>
    </w:p>
    <w:p w14:paraId="55BAED27" w14:textId="77777777" w:rsidR="00594A6C" w:rsidRPr="009D1A5C" w:rsidRDefault="00594A6C" w:rsidP="00594A6C">
      <w:pPr>
        <w:rPr>
          <w:b/>
        </w:rPr>
      </w:pPr>
      <w:r w:rsidRPr="009D1A5C">
        <w:rPr>
          <w:b/>
        </w:rPr>
        <w:t xml:space="preserve">5. Samráð. </w:t>
      </w:r>
    </w:p>
    <w:p w14:paraId="7F28C396" w14:textId="77777777" w:rsidR="00594A6C" w:rsidRPr="009D1A5C" w:rsidRDefault="00594A6C" w:rsidP="00594A6C">
      <w:pPr>
        <w:rPr>
          <w:color w:val="242424"/>
          <w:shd w:val="clear" w:color="auto" w:fill="FFFFFF"/>
        </w:rPr>
      </w:pPr>
      <w:r w:rsidRPr="009D1A5C">
        <w:rPr>
          <w:color w:val="242424"/>
          <w:shd w:val="clear" w:color="auto" w:fill="FFFFFF"/>
        </w:rPr>
        <w:t xml:space="preserve">Við gerð frumvarpsins var haft samráð við Seðlabanka Íslands og Skattinn, sem eftirlitsaðila samkvæmt lögum um aðgerðir gegn peningaþvætti og fjármögnun hryðjuverka. </w:t>
      </w:r>
    </w:p>
    <w:p w14:paraId="59E44A33" w14:textId="77777777" w:rsidR="00594A6C" w:rsidRPr="009D1A5C" w:rsidRDefault="00594A6C" w:rsidP="00594A6C">
      <w:pPr>
        <w:rPr>
          <w:color w:val="242424"/>
          <w:shd w:val="clear" w:color="auto" w:fill="FFFFFF"/>
        </w:rPr>
      </w:pPr>
      <w:r w:rsidRPr="009D1A5C">
        <w:rPr>
          <w:color w:val="242424"/>
          <w:shd w:val="clear" w:color="auto" w:fill="FFFFFF"/>
        </w:rPr>
        <w:t xml:space="preserve">  Áform um frumvarpið voru birt í samráðsgátt Stjórnarráðsins þann 10. desember 2020 og var veittur frestur til að koma umsögnum á framfæri til 10. desember 2020. Ein umsögn um áformin barst frá Landssamtökum lífeyrissjóða. Þá barst umsögn við áformin frá Samtökum Fjármálafyrirtækja þann 8. janúar 2021 þar sem lagðar voru til breytingar á ýmsum ákvæðum laganna. </w:t>
      </w:r>
    </w:p>
    <w:p w14:paraId="25FF7858" w14:textId="77777777" w:rsidR="00594A6C" w:rsidRPr="009D1A5C" w:rsidRDefault="00594A6C" w:rsidP="00594A6C">
      <w:pPr>
        <w:rPr>
          <w:color w:val="242424"/>
          <w:shd w:val="clear" w:color="auto" w:fill="FFFFFF"/>
        </w:rPr>
      </w:pPr>
    </w:p>
    <w:p w14:paraId="54B89E6F" w14:textId="77777777" w:rsidR="00594A6C" w:rsidRPr="009D1A5C" w:rsidRDefault="00594A6C" w:rsidP="00594A6C">
      <w:pPr>
        <w:rPr>
          <w:b/>
        </w:rPr>
      </w:pPr>
      <w:r w:rsidRPr="009D1A5C">
        <w:rPr>
          <w:b/>
        </w:rPr>
        <w:t xml:space="preserve">6. Mat á áhrifum. </w:t>
      </w:r>
    </w:p>
    <w:p w14:paraId="49A2F9B1" w14:textId="77777777" w:rsidR="00594A6C" w:rsidRPr="009D1A5C" w:rsidRDefault="00594A6C" w:rsidP="00594A6C">
      <w:pPr>
        <w:rPr>
          <w:bCs/>
        </w:rPr>
      </w:pPr>
      <w:r w:rsidRPr="009D1A5C">
        <w:rPr>
          <w:bCs/>
        </w:rPr>
        <w:t>Breytingar á lögum um aðgerðir gegn peningaþvætti og fjármögnun hryðjuverka hafa áhrif á tilkynningarskylda aðila og eftirlitsaðila samkvæmt lögunum. Þá hafa breytingarnar áhrif á þjónustuveitendur sýndareigna og kann að auka fjölda þeirra sem verða skráningarskyldir hjá Seðlabanka Íslands.</w:t>
      </w:r>
    </w:p>
    <w:p w14:paraId="0C51CE53" w14:textId="77777777" w:rsidR="00594A6C" w:rsidRPr="009D1A5C" w:rsidRDefault="00594A6C" w:rsidP="00594A6C">
      <w:r w:rsidRPr="009D1A5C">
        <w:t xml:space="preserve">Ekki er gert ráð fyrir að frumvarpið muni hafa áhrif á tekjur eða útgjöld ríkissjóðs. </w:t>
      </w:r>
    </w:p>
    <w:p w14:paraId="42C7D338" w14:textId="77777777" w:rsidR="00326DCD" w:rsidRPr="009A1DB7" w:rsidRDefault="00326DCD" w:rsidP="00A03A8E">
      <w:pPr>
        <w:ind w:firstLine="0"/>
      </w:pPr>
    </w:p>
    <w:p w14:paraId="1DD077E1" w14:textId="77777777" w:rsidR="005F2A81" w:rsidRDefault="005F2A81" w:rsidP="00326DCD">
      <w:pPr>
        <w:pStyle w:val="Greinarfyrirsgn"/>
      </w:pPr>
    </w:p>
    <w:p w14:paraId="06FEF4C6" w14:textId="78598857" w:rsidR="00326DCD" w:rsidRPr="009A1DB7" w:rsidRDefault="00326DCD" w:rsidP="00326DCD">
      <w:pPr>
        <w:pStyle w:val="Greinarfyrirsgn"/>
      </w:pPr>
      <w:r w:rsidRPr="009A1DB7">
        <w:t>Um einstakar greinar frumvarpsins.</w:t>
      </w:r>
    </w:p>
    <w:p w14:paraId="7E00F2D8" w14:textId="566C08BA" w:rsidR="00326DCD" w:rsidRPr="009A1DB7" w:rsidRDefault="00326DCD" w:rsidP="00326DCD">
      <w:pPr>
        <w:pStyle w:val="Greinarnmer"/>
      </w:pPr>
      <w:r w:rsidRPr="009A1DB7">
        <w:t xml:space="preserve">Um 1. </w:t>
      </w:r>
      <w:r w:rsidR="007F578D">
        <w:t>g</w:t>
      </w:r>
      <w:r w:rsidRPr="009A1DB7">
        <w:t>r</w:t>
      </w:r>
      <w:r w:rsidR="007F578D">
        <w:t>.</w:t>
      </w:r>
    </w:p>
    <w:p w14:paraId="4070F6FC" w14:textId="55706141" w:rsidR="005F2A81" w:rsidRPr="007F578D" w:rsidRDefault="0E6D01F8" w:rsidP="47A4417F">
      <w:pPr>
        <w:rPr>
          <w:szCs w:val="21"/>
        </w:rPr>
      </w:pPr>
      <w:r>
        <w:t xml:space="preserve">Lögð er til orðalagsbreyting á </w:t>
      </w:r>
      <w:proofErr w:type="spellStart"/>
      <w:r>
        <w:t>i-lið</w:t>
      </w:r>
      <w:proofErr w:type="spellEnd"/>
      <w:r w:rsidR="0D56FFF2">
        <w:t xml:space="preserve"> 1. mgr. 2. gr. laganna þannig að í stað orðsins gjaldeyrisskiptastöðvar komi orðið gjaldeyrisþjónusta. Breytingunni er ætlað </w:t>
      </w:r>
      <w:r w:rsidR="4A446B84">
        <w:t>a</w:t>
      </w:r>
      <w:r w:rsidR="4A446B84" w:rsidRPr="00E272BA">
        <w:rPr>
          <w:szCs w:val="21"/>
        </w:rPr>
        <w:t>ð ná betur utan um þessa starfsemi sem yfirleitt er starfrækt samhliða annarri starfsemi. Því er oft ekki um að ræða eiginlegar gjaldeyrisskiptastöðvar eins og víða má sjá erlendis sem bjóða eingöngu upp á skipti gjaldeyris, heldur aðila sem, samhliða annarri starfsemi, býður jafnframt upp á þjónustu við að skipta gjaldeyri.</w:t>
      </w:r>
    </w:p>
    <w:p w14:paraId="783FCDD1" w14:textId="0E06B38D" w:rsidR="00326DCD" w:rsidRDefault="006B013F" w:rsidP="006D4ABF">
      <w:pPr>
        <w:rPr>
          <w:color w:val="242424"/>
          <w:shd w:val="clear" w:color="auto" w:fill="FFFFFF"/>
        </w:rPr>
      </w:pPr>
      <w:r>
        <w:rPr>
          <w:color w:val="242424"/>
          <w:shd w:val="clear" w:color="auto" w:fill="FFFFFF"/>
        </w:rPr>
        <w:t>Þá er lögð</w:t>
      </w:r>
      <w:r w:rsidR="016B8AF5">
        <w:rPr>
          <w:color w:val="242424"/>
          <w:shd w:val="clear" w:color="auto" w:fill="FFFFFF"/>
        </w:rPr>
        <w:t xml:space="preserve"> til orðalagsbreyting á </w:t>
      </w:r>
      <w:proofErr w:type="spellStart"/>
      <w:r w:rsidR="016B8AF5">
        <w:rPr>
          <w:color w:val="242424"/>
          <w:shd w:val="clear" w:color="auto" w:fill="FFFFFF"/>
        </w:rPr>
        <w:t>j-lið</w:t>
      </w:r>
      <w:proofErr w:type="spellEnd"/>
      <w:r w:rsidR="016B8AF5">
        <w:rPr>
          <w:color w:val="242424"/>
          <w:shd w:val="clear" w:color="auto" w:fill="FFFFFF"/>
        </w:rPr>
        <w:t xml:space="preserve"> 1. mgr. 2. gr. laganna </w:t>
      </w:r>
      <w:r w:rsidR="22390831">
        <w:rPr>
          <w:color w:val="242424"/>
          <w:shd w:val="clear" w:color="auto" w:fill="FFFFFF"/>
        </w:rPr>
        <w:t>þannig að í stað þjónustuveitend</w:t>
      </w:r>
      <w:r w:rsidR="03FB1F68">
        <w:rPr>
          <w:color w:val="242424"/>
          <w:shd w:val="clear" w:color="auto" w:fill="FFFFFF"/>
        </w:rPr>
        <w:t>a</w:t>
      </w:r>
      <w:r w:rsidR="22390831">
        <w:rPr>
          <w:color w:val="242424"/>
          <w:shd w:val="clear" w:color="auto" w:fill="FFFFFF"/>
        </w:rPr>
        <w:t xml:space="preserve"> sýndarfjár komi þjónustuveitendur sýndareigna. Framangreind orðalagsbreyting er gerð til samræmis við þær breytingar sem lagðar eru til með 2. gr. frumvarpsins</w:t>
      </w:r>
      <w:r w:rsidR="0EC4856D">
        <w:rPr>
          <w:color w:val="242424"/>
          <w:shd w:val="clear" w:color="auto" w:fill="FFFFFF"/>
        </w:rPr>
        <w:t xml:space="preserve"> og vísast til umfjöllunar um það í greinargerð þessari</w:t>
      </w:r>
      <w:r w:rsidR="22390831" w:rsidRPr="00E272BA">
        <w:rPr>
          <w:color w:val="242424"/>
          <w:shd w:val="clear" w:color="auto" w:fill="FFFFFF"/>
        </w:rPr>
        <w:t>.</w:t>
      </w:r>
      <w:r w:rsidR="22390831">
        <w:rPr>
          <w:color w:val="242424"/>
          <w:shd w:val="clear" w:color="auto" w:fill="FFFFFF"/>
        </w:rPr>
        <w:t xml:space="preserve"> </w:t>
      </w:r>
    </w:p>
    <w:p w14:paraId="1B2CDE69" w14:textId="132E1599" w:rsidR="003C2117" w:rsidRDefault="003C2117" w:rsidP="00C67244">
      <w:pPr>
        <w:rPr>
          <w:color w:val="242424"/>
          <w:shd w:val="clear" w:color="auto" w:fill="FFFFFF"/>
        </w:rPr>
      </w:pPr>
    </w:p>
    <w:p w14:paraId="3873F521" w14:textId="0878B774" w:rsidR="00E222DB" w:rsidRDefault="00E222DB" w:rsidP="00E222DB">
      <w:pPr>
        <w:pStyle w:val="Greinarnmer"/>
      </w:pPr>
      <w:r w:rsidRPr="009A1DB7">
        <w:t xml:space="preserve">Um </w:t>
      </w:r>
      <w:r>
        <w:t>2</w:t>
      </w:r>
      <w:r w:rsidRPr="009A1DB7">
        <w:t>. gr.</w:t>
      </w:r>
    </w:p>
    <w:p w14:paraId="1A2285FB" w14:textId="44F4E26B" w:rsidR="006D4ABF" w:rsidRPr="006D4ABF" w:rsidRDefault="5956AA88" w:rsidP="006D4ABF">
      <w:r>
        <w:t xml:space="preserve">Með 2. grein frumvarpsins eru </w:t>
      </w:r>
      <w:r w:rsidR="1F1190A3">
        <w:t xml:space="preserve">m.a. </w:t>
      </w:r>
      <w:r>
        <w:t>lagðar til breytingar sem varða skilgreiningar á háttsettum einstaklingum í opinberri þjónustu, sýndar</w:t>
      </w:r>
      <w:r w:rsidR="38A245E5">
        <w:t>fé</w:t>
      </w:r>
      <w:r>
        <w:t xml:space="preserve"> og persónuskilríkjum.</w:t>
      </w:r>
      <w:r w:rsidR="51B5F126">
        <w:t xml:space="preserve"> Þá er lagt til að skilgreiningu á viðskiptum með sýndareignir verði bætt við ákvæðið</w:t>
      </w:r>
      <w:r w:rsidR="1FD03544">
        <w:t xml:space="preserve"> og undir það verði felldir </w:t>
      </w:r>
      <w:r w:rsidR="2AAC7BB0">
        <w:t xml:space="preserve">þeir einstaklingar og lögaðilar sem eru </w:t>
      </w:r>
      <w:r w:rsidR="1FD03544">
        <w:t>þjónustuveitendur stafrænna veskja</w:t>
      </w:r>
      <w:r w:rsidR="2AAC7BB0">
        <w:t xml:space="preserve"> samkvæmt núgildandi lögum</w:t>
      </w:r>
      <w:r w:rsidR="51B5F126">
        <w:t xml:space="preserve">. </w:t>
      </w:r>
    </w:p>
    <w:p w14:paraId="12D9051D" w14:textId="5ED87C79" w:rsidR="00617234" w:rsidRDefault="22390831" w:rsidP="006D4ABF">
      <w:pPr>
        <w:rPr>
          <w:color w:val="242424"/>
          <w:shd w:val="clear" w:color="auto" w:fill="FFFFFF"/>
        </w:rPr>
      </w:pPr>
      <w:r>
        <w:rPr>
          <w:color w:val="242424"/>
          <w:shd w:val="clear" w:color="auto" w:fill="FFFFFF"/>
        </w:rPr>
        <w:t xml:space="preserve">Í 6 </w:t>
      </w:r>
      <w:proofErr w:type="spellStart"/>
      <w:r>
        <w:rPr>
          <w:color w:val="242424"/>
          <w:shd w:val="clear" w:color="auto" w:fill="FFFFFF"/>
        </w:rPr>
        <w:t>tl</w:t>
      </w:r>
      <w:proofErr w:type="spellEnd"/>
      <w:r>
        <w:rPr>
          <w:color w:val="242424"/>
          <w:shd w:val="clear" w:color="auto" w:fill="FFFFFF"/>
        </w:rPr>
        <w:t xml:space="preserve">. 3. gr. </w:t>
      </w:r>
      <w:r w:rsidR="3AEC4520">
        <w:rPr>
          <w:color w:val="242424"/>
          <w:shd w:val="clear" w:color="auto" w:fill="FFFFFF"/>
        </w:rPr>
        <w:t xml:space="preserve">núgildandi laga </w:t>
      </w:r>
      <w:r>
        <w:rPr>
          <w:color w:val="242424"/>
          <w:shd w:val="clear" w:color="auto" w:fill="FFFFFF"/>
        </w:rPr>
        <w:t>er vísað til</w:t>
      </w:r>
      <w:r w:rsidR="3AEC4520">
        <w:rPr>
          <w:color w:val="242424"/>
          <w:shd w:val="clear" w:color="auto" w:fill="FFFFFF"/>
        </w:rPr>
        <w:t xml:space="preserve"> „dómara við endurskoðunardómstóla og </w:t>
      </w:r>
      <w:proofErr w:type="spellStart"/>
      <w:r w:rsidR="3AEC4520">
        <w:rPr>
          <w:color w:val="242424"/>
          <w:shd w:val="clear" w:color="auto" w:fill="FFFFFF"/>
        </w:rPr>
        <w:t>hæstráðendur</w:t>
      </w:r>
      <w:proofErr w:type="spellEnd"/>
      <w:r w:rsidR="3AEC4520">
        <w:rPr>
          <w:color w:val="242424"/>
          <w:shd w:val="clear" w:color="auto" w:fill="FFFFFF"/>
        </w:rPr>
        <w:t xml:space="preserve"> seðlabanka“ í upptalningu yfir háttsetta einstaklinga í opinberri þjónustu. Með frumvarpinu er lagt til að skilgreiningin nái til ríkisendurskoðanda, í stað endurskoðunardómstóla sem ekki eru starfræktir hérlendis. Í fjórðu peningaþvættistilskipun Evrópusambandsins (2015/849/EB) er vísað til </w:t>
      </w:r>
      <w:r w:rsidR="3AEC4520" w:rsidRPr="47A4417F">
        <w:rPr>
          <w:i/>
          <w:iCs/>
          <w:color w:val="242424"/>
          <w:shd w:val="clear" w:color="auto" w:fill="FFFFFF"/>
          <w:lang w:val="en-GB"/>
        </w:rPr>
        <w:t>„members of courts of auditors or of the boards of central banks.“</w:t>
      </w:r>
      <w:r w:rsidR="3AEC4520">
        <w:rPr>
          <w:color w:val="242424"/>
          <w:shd w:val="clear" w:color="auto" w:fill="FFFFFF"/>
          <w:lang w:val="en-GB"/>
        </w:rPr>
        <w:t xml:space="preserve"> </w:t>
      </w:r>
      <w:r w:rsidR="3AEC4520" w:rsidRPr="009C2794">
        <w:rPr>
          <w:color w:val="242424"/>
          <w:shd w:val="clear" w:color="auto" w:fill="FFFFFF"/>
        </w:rPr>
        <w:t xml:space="preserve">Í Danmörku er vísað </w:t>
      </w:r>
      <w:r w:rsidR="3AEC4520">
        <w:rPr>
          <w:color w:val="242424"/>
          <w:shd w:val="clear" w:color="auto" w:fill="FFFFFF"/>
        </w:rPr>
        <w:t xml:space="preserve">með beinum hætti </w:t>
      </w:r>
      <w:r w:rsidR="3AEC4520" w:rsidRPr="009C2794">
        <w:rPr>
          <w:color w:val="242424"/>
          <w:shd w:val="clear" w:color="auto" w:fill="FFFFFF"/>
        </w:rPr>
        <w:t>til ríkisendurskoðanda Danmerkur</w:t>
      </w:r>
      <w:r w:rsidR="3AEC4520">
        <w:rPr>
          <w:color w:val="242424"/>
          <w:shd w:val="clear" w:color="auto" w:fill="FFFFFF"/>
        </w:rPr>
        <w:t xml:space="preserve"> og er lagt til að sama leið verði farin hér.</w:t>
      </w:r>
    </w:p>
    <w:p w14:paraId="322C0866" w14:textId="66FD6A9F" w:rsidR="007F578D" w:rsidRDefault="0D56FFF2" w:rsidP="006D4ABF">
      <w:pPr>
        <w:rPr>
          <w:color w:val="242424"/>
          <w:shd w:val="clear" w:color="auto" w:fill="FFFFFF"/>
        </w:rPr>
      </w:pPr>
      <w:r>
        <w:rPr>
          <w:color w:val="242424"/>
          <w:shd w:val="clear" w:color="auto" w:fill="FFFFFF"/>
        </w:rPr>
        <w:t xml:space="preserve">Í 8. </w:t>
      </w:r>
      <w:proofErr w:type="spellStart"/>
      <w:r>
        <w:rPr>
          <w:color w:val="242424"/>
          <w:shd w:val="clear" w:color="auto" w:fill="FFFFFF"/>
        </w:rPr>
        <w:t>tl</w:t>
      </w:r>
      <w:proofErr w:type="spellEnd"/>
      <w:r>
        <w:rPr>
          <w:color w:val="242424"/>
          <w:shd w:val="clear" w:color="auto" w:fill="FFFFFF"/>
        </w:rPr>
        <w:t>. 3. gr. núgildandi laga er vísað til „gjaldeyrisskiptastöðva.“ Með frumvarpinu er lögð til sú orðalagsbreyting að í stað gjaldeyrisskiptastöðva komi orðið gjaldeyris</w:t>
      </w:r>
      <w:r w:rsidR="00724362">
        <w:rPr>
          <w:color w:val="242424"/>
          <w:shd w:val="clear" w:color="auto" w:fill="FFFFFF"/>
        </w:rPr>
        <w:t>skipta</w:t>
      </w:r>
      <w:r>
        <w:rPr>
          <w:color w:val="242424"/>
          <w:shd w:val="clear" w:color="auto" w:fill="FFFFFF"/>
        </w:rPr>
        <w:t>þjónusta, sbr. umfjöllun hér að framan.</w:t>
      </w:r>
    </w:p>
    <w:p w14:paraId="41A16492" w14:textId="22F0403D" w:rsidR="006D3479" w:rsidRPr="002C32E6" w:rsidRDefault="51B5F126" w:rsidP="00A66352">
      <w:pPr>
        <w:rPr>
          <w:color w:val="242424"/>
          <w:shd w:val="clear" w:color="auto" w:fill="FFFFFF"/>
        </w:rPr>
      </w:pPr>
      <w:r>
        <w:rPr>
          <w:color w:val="242424"/>
          <w:shd w:val="clear" w:color="auto" w:fill="FFFFFF"/>
        </w:rPr>
        <w:lastRenderedPageBreak/>
        <w:t xml:space="preserve">Í 16 </w:t>
      </w:r>
      <w:proofErr w:type="spellStart"/>
      <w:r>
        <w:rPr>
          <w:color w:val="242424"/>
          <w:shd w:val="clear" w:color="auto" w:fill="FFFFFF"/>
        </w:rPr>
        <w:t>tl</w:t>
      </w:r>
      <w:proofErr w:type="spellEnd"/>
      <w:r>
        <w:rPr>
          <w:color w:val="242424"/>
          <w:shd w:val="clear" w:color="auto" w:fill="FFFFFF"/>
        </w:rPr>
        <w:t xml:space="preserve">. 3. gr. núgildandi laga er sýndarfé skilgreint sem hvers konar stafrænt fé sem er hvorki </w:t>
      </w:r>
      <w:proofErr w:type="spellStart"/>
      <w:r>
        <w:rPr>
          <w:color w:val="242424"/>
          <w:shd w:val="clear" w:color="auto" w:fill="FFFFFF"/>
        </w:rPr>
        <w:t>rafeyrir</w:t>
      </w:r>
      <w:proofErr w:type="spellEnd"/>
      <w:r>
        <w:rPr>
          <w:color w:val="242424"/>
          <w:shd w:val="clear" w:color="auto" w:fill="FFFFFF"/>
        </w:rPr>
        <w:t xml:space="preserve"> í skilningi laga um útgáfu og meðferð rafeyris né gjaldmiðill. Í stað </w:t>
      </w:r>
      <w:r w:rsidR="15BFECD4">
        <w:rPr>
          <w:color w:val="242424"/>
          <w:shd w:val="clear" w:color="auto" w:fill="FFFFFF"/>
        </w:rPr>
        <w:t xml:space="preserve">orðsins </w:t>
      </w:r>
      <w:r>
        <w:rPr>
          <w:color w:val="242424"/>
          <w:shd w:val="clear" w:color="auto" w:fill="FFFFFF"/>
        </w:rPr>
        <w:t xml:space="preserve">„sýndarfé“ er lagt til að komi „sýndareignir.“ Það er til samræmis </w:t>
      </w:r>
      <w:r w:rsidR="15BFECD4">
        <w:rPr>
          <w:color w:val="242424"/>
          <w:shd w:val="clear" w:color="auto" w:fill="FFFFFF"/>
        </w:rPr>
        <w:t xml:space="preserve">við þróun á alþjóðavettvangi, þar sem vísað er til hvers konar verðmæta á stafrænu formi en ekki sérstaklega til fjármuna. Þannig er nú vísað til </w:t>
      </w:r>
      <w:r w:rsidR="15BFECD4" w:rsidRPr="47A4417F">
        <w:rPr>
          <w:i/>
          <w:iCs/>
          <w:color w:val="242424"/>
          <w:shd w:val="clear" w:color="auto" w:fill="FFFFFF"/>
        </w:rPr>
        <w:t>„</w:t>
      </w:r>
      <w:proofErr w:type="spellStart"/>
      <w:r w:rsidR="15BFECD4" w:rsidRPr="47A4417F">
        <w:rPr>
          <w:i/>
          <w:iCs/>
          <w:color w:val="242424"/>
          <w:shd w:val="clear" w:color="auto" w:fill="FFFFFF"/>
        </w:rPr>
        <w:t>virtual</w:t>
      </w:r>
      <w:proofErr w:type="spellEnd"/>
      <w:r w:rsidR="15BFECD4" w:rsidRPr="47A4417F">
        <w:rPr>
          <w:i/>
          <w:iCs/>
          <w:color w:val="242424"/>
          <w:shd w:val="clear" w:color="auto" w:fill="FFFFFF"/>
        </w:rPr>
        <w:t xml:space="preserve"> </w:t>
      </w:r>
      <w:proofErr w:type="spellStart"/>
      <w:r w:rsidR="15BFECD4" w:rsidRPr="47A4417F">
        <w:rPr>
          <w:i/>
          <w:iCs/>
          <w:color w:val="242424"/>
          <w:shd w:val="clear" w:color="auto" w:fill="FFFFFF"/>
        </w:rPr>
        <w:t>assets</w:t>
      </w:r>
      <w:proofErr w:type="spellEnd"/>
      <w:r w:rsidR="15BFECD4" w:rsidRPr="47A4417F">
        <w:rPr>
          <w:i/>
          <w:iCs/>
          <w:color w:val="242424"/>
          <w:shd w:val="clear" w:color="auto" w:fill="FFFFFF"/>
        </w:rPr>
        <w:t>“</w:t>
      </w:r>
      <w:r w:rsidR="15BFECD4">
        <w:rPr>
          <w:color w:val="242424"/>
          <w:shd w:val="clear" w:color="auto" w:fill="FFFFFF"/>
        </w:rPr>
        <w:t xml:space="preserve"> </w:t>
      </w:r>
      <w:r w:rsidR="6DF994F7">
        <w:rPr>
          <w:color w:val="242424"/>
          <w:shd w:val="clear" w:color="auto" w:fill="FFFFFF"/>
        </w:rPr>
        <w:t>í tilmælum</w:t>
      </w:r>
      <w:r w:rsidR="0E7EE975">
        <w:rPr>
          <w:color w:val="242424"/>
          <w:shd w:val="clear" w:color="auto" w:fill="FFFFFF"/>
        </w:rPr>
        <w:t xml:space="preserve"> </w:t>
      </w:r>
      <w:r w:rsidR="15BFECD4">
        <w:rPr>
          <w:color w:val="242424"/>
          <w:shd w:val="clear" w:color="auto" w:fill="FFFFFF"/>
        </w:rPr>
        <w:t xml:space="preserve">FATF í stað </w:t>
      </w:r>
      <w:r w:rsidR="15BFECD4" w:rsidRPr="47A4417F">
        <w:rPr>
          <w:i/>
          <w:iCs/>
          <w:color w:val="242424"/>
          <w:shd w:val="clear" w:color="auto" w:fill="FFFFFF"/>
        </w:rPr>
        <w:t>„</w:t>
      </w:r>
      <w:proofErr w:type="spellStart"/>
      <w:r w:rsidR="15BFECD4" w:rsidRPr="47A4417F">
        <w:rPr>
          <w:i/>
          <w:iCs/>
          <w:color w:val="242424"/>
          <w:shd w:val="clear" w:color="auto" w:fill="FFFFFF"/>
        </w:rPr>
        <w:t>virtual</w:t>
      </w:r>
      <w:proofErr w:type="spellEnd"/>
      <w:r w:rsidR="15BFECD4" w:rsidRPr="47A4417F">
        <w:rPr>
          <w:i/>
          <w:iCs/>
          <w:color w:val="242424"/>
          <w:shd w:val="clear" w:color="auto" w:fill="FFFFFF"/>
        </w:rPr>
        <w:t xml:space="preserve"> </w:t>
      </w:r>
      <w:proofErr w:type="spellStart"/>
      <w:r w:rsidR="15BFECD4" w:rsidRPr="47A4417F">
        <w:rPr>
          <w:i/>
          <w:iCs/>
          <w:color w:val="242424"/>
          <w:shd w:val="clear" w:color="auto" w:fill="FFFFFF"/>
        </w:rPr>
        <w:t>currency</w:t>
      </w:r>
      <w:proofErr w:type="spellEnd"/>
      <w:r w:rsidR="15BFECD4" w:rsidRPr="47A4417F">
        <w:rPr>
          <w:i/>
          <w:iCs/>
          <w:color w:val="242424"/>
          <w:shd w:val="clear" w:color="auto" w:fill="FFFFFF"/>
        </w:rPr>
        <w:t>.“</w:t>
      </w:r>
      <w:r w:rsidR="15BFECD4" w:rsidRPr="002C32E6">
        <w:rPr>
          <w:color w:val="242424"/>
          <w:shd w:val="clear" w:color="auto" w:fill="FFFFFF"/>
        </w:rPr>
        <w:t xml:space="preserve"> </w:t>
      </w:r>
    </w:p>
    <w:p w14:paraId="3DD1EDA9" w14:textId="0061159E" w:rsidR="002F6113" w:rsidRDefault="006D3479" w:rsidP="002F6113">
      <w:pPr>
        <w:rPr>
          <w:color w:val="242424"/>
          <w:shd w:val="clear" w:color="auto" w:fill="FFFFFF"/>
        </w:rPr>
      </w:pPr>
      <w:r>
        <w:rPr>
          <w:color w:val="242424"/>
          <w:shd w:val="clear" w:color="auto" w:fill="FFFFFF"/>
        </w:rPr>
        <w:t xml:space="preserve">Þá er lagt til að til nánari </w:t>
      </w:r>
      <w:r w:rsidR="0098207A">
        <w:rPr>
          <w:color w:val="242424"/>
          <w:shd w:val="clear" w:color="auto" w:fill="FFFFFF"/>
        </w:rPr>
        <w:t xml:space="preserve">afmörkunar </w:t>
      </w:r>
      <w:r>
        <w:rPr>
          <w:color w:val="242424"/>
          <w:shd w:val="clear" w:color="auto" w:fill="FFFFFF"/>
        </w:rPr>
        <w:t xml:space="preserve">verði því bætt við </w:t>
      </w:r>
      <w:r w:rsidR="0098207A">
        <w:rPr>
          <w:color w:val="242424"/>
          <w:shd w:val="clear" w:color="auto" w:fill="FFFFFF"/>
        </w:rPr>
        <w:t xml:space="preserve">skilgreininguna á sýndareignum </w:t>
      </w:r>
      <w:r>
        <w:rPr>
          <w:color w:val="242424"/>
          <w:shd w:val="clear" w:color="auto" w:fill="FFFFFF"/>
        </w:rPr>
        <w:t xml:space="preserve">að hægt sé að nota verðmætin sem greiðslu eða fjárfestingu, sem hægt sé að </w:t>
      </w:r>
      <w:r w:rsidR="009C2462">
        <w:rPr>
          <w:color w:val="242424"/>
          <w:shd w:val="clear" w:color="auto" w:fill="FFFFFF"/>
        </w:rPr>
        <w:t>miðla</w:t>
      </w:r>
      <w:r>
        <w:rPr>
          <w:color w:val="242424"/>
          <w:shd w:val="clear" w:color="auto" w:fill="FFFFFF"/>
        </w:rPr>
        <w:t>. Áfram er sérstaklega</w:t>
      </w:r>
      <w:r w:rsidR="00911E01">
        <w:rPr>
          <w:color w:val="242424"/>
          <w:shd w:val="clear" w:color="auto" w:fill="FFFFFF"/>
        </w:rPr>
        <w:t xml:space="preserve"> tekið</w:t>
      </w:r>
      <w:r>
        <w:rPr>
          <w:color w:val="242424"/>
          <w:shd w:val="clear" w:color="auto" w:fill="FFFFFF"/>
        </w:rPr>
        <w:t xml:space="preserve"> fram að með sýndareignum sé ekki um að ræða verðmæti sem teljast til rafeyris í skilningi laga um útgáfu og meðferð rafeyris eða gjaldmiðils sem er gefinn út af seðlabanka eða öðrum stjórnvöldum</w:t>
      </w:r>
      <w:r w:rsidR="002F6113" w:rsidRPr="005D3C87">
        <w:rPr>
          <w:color w:val="242424"/>
          <w:shd w:val="clear" w:color="auto" w:fill="FFFFFF"/>
        </w:rPr>
        <w:t>.</w:t>
      </w:r>
    </w:p>
    <w:p w14:paraId="13585F98" w14:textId="43B3F013" w:rsidR="00656C5B" w:rsidRDefault="00656C5B" w:rsidP="00A66352">
      <w:pPr>
        <w:rPr>
          <w:color w:val="242424"/>
          <w:shd w:val="clear" w:color="auto" w:fill="FFFFFF"/>
        </w:rPr>
      </w:pPr>
      <w:r>
        <w:rPr>
          <w:color w:val="242424"/>
          <w:shd w:val="clear" w:color="auto" w:fill="FFFFFF"/>
        </w:rPr>
        <w:t>Framangreindri skilgreiningu á sýndareignum er ætlað að vera í fullu samræmi við samsvarandi skilgreiningar á vettvangi Evrópusambandsins og FATF. Innan FATF eru sýndareignir skilgreindar með eftirfarandi hætti:</w:t>
      </w:r>
    </w:p>
    <w:p w14:paraId="53F16E01" w14:textId="75C06EF8" w:rsidR="00656C5B" w:rsidRDefault="00656C5B" w:rsidP="00656C5B">
      <w:pPr>
        <w:ind w:left="284" w:firstLine="1"/>
        <w:rPr>
          <w:i/>
          <w:iCs/>
          <w:color w:val="333333"/>
          <w:szCs w:val="21"/>
          <w:shd w:val="clear" w:color="auto" w:fill="FFFFFF"/>
          <w:lang w:val="en-GB"/>
        </w:rPr>
      </w:pPr>
      <w:r w:rsidRPr="009A1DB7">
        <w:rPr>
          <w:i/>
          <w:iCs/>
          <w:lang w:val="en-GB"/>
        </w:rPr>
        <w:t>„</w:t>
      </w:r>
      <w:r w:rsidRPr="009A1DB7">
        <w:rPr>
          <w:i/>
          <w:iCs/>
          <w:color w:val="333333"/>
          <w:szCs w:val="21"/>
          <w:shd w:val="clear" w:color="auto" w:fill="FFFFFF"/>
          <w:lang w:val="en-GB"/>
        </w:rPr>
        <w:t xml:space="preserve">A virtual asset is a digital representation of value that can be digitally traded, or transferred, and can be used for payment or investment purposes. Virtual assets do not include digital representations of fiat currencies, securities and other financial assets that are already covered elsewhere in the FATF </w:t>
      </w:r>
      <w:proofErr w:type="gramStart"/>
      <w:r w:rsidRPr="009A1DB7">
        <w:rPr>
          <w:i/>
          <w:iCs/>
          <w:color w:val="333333"/>
          <w:szCs w:val="21"/>
          <w:shd w:val="clear" w:color="auto" w:fill="FFFFFF"/>
          <w:lang w:val="en-GB"/>
        </w:rPr>
        <w:t>Recommendations</w:t>
      </w:r>
      <w:r w:rsidR="003044CC">
        <w:rPr>
          <w:i/>
          <w:iCs/>
          <w:color w:val="333333"/>
          <w:szCs w:val="21"/>
          <w:shd w:val="clear" w:color="auto" w:fill="FFFFFF"/>
          <w:lang w:val="en-GB"/>
        </w:rPr>
        <w:t>.</w:t>
      </w:r>
      <w:r w:rsidRPr="009A1DB7">
        <w:rPr>
          <w:i/>
          <w:iCs/>
          <w:color w:val="333333"/>
          <w:szCs w:val="21"/>
          <w:shd w:val="clear" w:color="auto" w:fill="FFFFFF"/>
          <w:lang w:val="en-GB"/>
        </w:rPr>
        <w:t>“</w:t>
      </w:r>
      <w:proofErr w:type="gramEnd"/>
    </w:p>
    <w:p w14:paraId="4ABD3FC3" w14:textId="49D8B2BC" w:rsidR="00EC3FBE" w:rsidRPr="00EC3FBE" w:rsidRDefault="00EC3FBE" w:rsidP="00064219">
      <w:r w:rsidRPr="00EC3FBE">
        <w:t>Þá hefur evrópska bankaeftirlitsstofnunin (EBA) skilgreint sýndareignir með eftirfarandi hætti:</w:t>
      </w:r>
    </w:p>
    <w:p w14:paraId="7D5E78AF" w14:textId="77777777" w:rsidR="003044CC" w:rsidRDefault="00EC3FBE" w:rsidP="00064219">
      <w:pPr>
        <w:rPr>
          <w:i/>
          <w:iCs/>
          <w:lang w:val="en-GB"/>
        </w:rPr>
      </w:pPr>
      <w:r w:rsidRPr="009A1DB7">
        <w:rPr>
          <w:i/>
          <w:iCs/>
          <w:lang w:val="en-GB"/>
        </w:rPr>
        <w:t>“an asset that: a) depends primarily on cryptography and DLT or similar technology as part of its perceived or inherent value, b) is neither issued nor guaranteed by a central bank or public authority, and c) can be used as a means of exchange and/or for investment purposes and/or to access a good or service”</w:t>
      </w:r>
    </w:p>
    <w:p w14:paraId="690DDD58" w14:textId="3E847284" w:rsidR="00656C5B" w:rsidRPr="00064219" w:rsidRDefault="443A7237" w:rsidP="00064219">
      <w:r>
        <w:t xml:space="preserve">Ekki er </w:t>
      </w:r>
      <w:r w:rsidR="79CD2DF1">
        <w:t>unnt</w:t>
      </w:r>
      <w:r>
        <w:t xml:space="preserve"> að tilgreina með tæmandi hætti hvaða verðmæti falla undir sýndareignir hverju sinni enda tækniþróun og nýsköpun á þessu sviði hröð. Þess vegna er lögð áhersla á það að skilgreina sýndareignir með því að lýsa eiginleikum þeirra, </w:t>
      </w:r>
      <w:r w:rsidR="0E7EE975">
        <w:t>í samræmi við þær skilgreiningar sem</w:t>
      </w:r>
      <w:r>
        <w:t xml:space="preserve"> settar hafa verið fram á vettvangi Evrópusambandsins og innan FATF. Eftir sem áður </w:t>
      </w:r>
      <w:r w:rsidR="4FAE87F9">
        <w:t>þurfa</w:t>
      </w:r>
      <w:r>
        <w:t xml:space="preserve"> eftirlitsaðila</w:t>
      </w:r>
      <w:r w:rsidR="4FAE87F9">
        <w:t>r</w:t>
      </w:r>
      <w:r>
        <w:t xml:space="preserve"> að meta hvort starfsemi hafi þau einkenni að hún falli undir gildissvið laganna</w:t>
      </w:r>
      <w:r w:rsidR="6DF994F7">
        <w:t xml:space="preserve">, en þjónustuveitendur sýndareigna </w:t>
      </w:r>
      <w:r w:rsidR="4AAA75C2">
        <w:t xml:space="preserve">eru </w:t>
      </w:r>
      <w:r w:rsidR="6DF994F7">
        <w:t>skráningarskyldir hjá Seðlabanka Íslands, sbr. 35. gr. laganna</w:t>
      </w:r>
      <w:r w:rsidR="0440FD0B">
        <w:t xml:space="preserve"> og nánari umfjöllun í greinargerð þessari</w:t>
      </w:r>
      <w:r w:rsidR="6DF994F7">
        <w:t>.</w:t>
      </w:r>
    </w:p>
    <w:p w14:paraId="1354F93B" w14:textId="47E62796" w:rsidR="007A6048" w:rsidRDefault="3C9E991D" w:rsidP="00A66352">
      <w:pPr>
        <w:rPr>
          <w:color w:val="242424"/>
          <w:shd w:val="clear" w:color="auto" w:fill="FFFFFF"/>
        </w:rPr>
      </w:pPr>
      <w:r>
        <w:rPr>
          <w:color w:val="242424"/>
          <w:shd w:val="clear" w:color="auto" w:fill="FFFFFF"/>
        </w:rPr>
        <w:t xml:space="preserve">   Í 18 </w:t>
      </w:r>
      <w:proofErr w:type="spellStart"/>
      <w:r>
        <w:rPr>
          <w:color w:val="242424"/>
          <w:shd w:val="clear" w:color="auto" w:fill="FFFFFF"/>
        </w:rPr>
        <w:t>tl</w:t>
      </w:r>
      <w:proofErr w:type="spellEnd"/>
      <w:r>
        <w:rPr>
          <w:color w:val="242424"/>
          <w:shd w:val="clear" w:color="auto" w:fill="FFFFFF"/>
        </w:rPr>
        <w:t>. 3. gr. laganna er að finna skilgreiningu á viðurkenndum persónuskilríkjum</w:t>
      </w:r>
      <w:r w:rsidR="66C46E54">
        <w:rPr>
          <w:color w:val="242424"/>
          <w:shd w:val="clear" w:color="auto" w:fill="FFFFFF"/>
        </w:rPr>
        <w:t xml:space="preserve"> þar sem fram kemur </w:t>
      </w:r>
      <w:r>
        <w:rPr>
          <w:color w:val="242424"/>
          <w:shd w:val="clear" w:color="auto" w:fill="FFFFFF"/>
        </w:rPr>
        <w:t xml:space="preserve">að </w:t>
      </w:r>
      <w:r w:rsidR="66C46E54">
        <w:rPr>
          <w:color w:val="242424"/>
          <w:shd w:val="clear" w:color="auto" w:fill="FFFFFF"/>
        </w:rPr>
        <w:t xml:space="preserve">gild </w:t>
      </w:r>
      <w:r>
        <w:rPr>
          <w:color w:val="242424"/>
          <w:shd w:val="clear" w:color="auto" w:fill="FFFFFF"/>
        </w:rPr>
        <w:t xml:space="preserve">persónuskilríki séu gefin út </w:t>
      </w:r>
      <w:r w:rsidR="66C46E54">
        <w:rPr>
          <w:color w:val="242424"/>
          <w:shd w:val="clear" w:color="auto" w:fill="FFFFFF"/>
        </w:rPr>
        <w:t xml:space="preserve"> af stjórnvöldum eða viðurkennd af stjórnvöldum. Þá er sérstaklega tilgreint í skilgreiningunni að til gildra persónuskilríkja teljist vegabréf, ökuskírteini og nafnskírteini gefin út af Þjóðskrá Íslands eða samsvarandi erlendum stjórnvöldum og rafræn skilríki sem innihalda fullgild rafræn vottorð sem varðveitt eru á fullgildum undirskriftarbúnaði. Rétt þykir að hafa ekki tæmandi upptalningu á því í skilgreiningunni hvaða tegundir persónuskilríkja teljist til gildra persónuskilríkja. Eftir sem áður er áreiðanleikakönnun ávallt á ábyrgð viðkomandi tilkynningarskylds aðila og á hans ábyrgð að tryggja að áreiðanleikakönnun byggi á fullnægjandi gögnum.     </w:t>
      </w:r>
    </w:p>
    <w:p w14:paraId="477BDD78" w14:textId="0E1F4962" w:rsidR="6F939A43" w:rsidRPr="00E272BA" w:rsidRDefault="6F939A43" w:rsidP="00E272BA">
      <w:pPr>
        <w:rPr>
          <w:color w:val="242424"/>
          <w:szCs w:val="21"/>
        </w:rPr>
      </w:pPr>
      <w:r>
        <w:t xml:space="preserve">Í 21. </w:t>
      </w:r>
      <w:proofErr w:type="spellStart"/>
      <w:r>
        <w:t>tölul</w:t>
      </w:r>
      <w:proofErr w:type="spellEnd"/>
      <w:r>
        <w:t xml:space="preserve">. er lagt til að hugtakið áhættuþættir sé skilgreint sem </w:t>
      </w:r>
      <w:r w:rsidR="009B60B6">
        <w:t>breytilegir þættir</w:t>
      </w:r>
      <w:r>
        <w:t xml:space="preserve"> sem annað hvort ein</w:t>
      </w:r>
      <w:r w:rsidR="009B60B6">
        <w:t>i</w:t>
      </w:r>
      <w:r>
        <w:t>r sér eða samanlagt</w:t>
      </w:r>
      <w:r w:rsidR="136D5650">
        <w:t>,</w:t>
      </w:r>
      <w:r>
        <w:t xml:space="preserve"> geta aukið eða dregið úr hættu á peningaþvætti og fjármögnu</w:t>
      </w:r>
      <w:r w:rsidR="341AE3B7">
        <w:t xml:space="preserve">n hryðjuverka. </w:t>
      </w:r>
      <w:r w:rsidR="13E34F58">
        <w:t xml:space="preserve">Greining á áhættuþáttum er grundvöllur að mati á </w:t>
      </w:r>
      <w:r w:rsidR="569C582C">
        <w:t xml:space="preserve">áhættu tengdri peningaþvætti og fjármögnun hryðjuverka í </w:t>
      </w:r>
      <w:r w:rsidR="13E34F58">
        <w:t>starfsemi</w:t>
      </w:r>
      <w:r w:rsidR="6D535DAE">
        <w:t xml:space="preserve">, </w:t>
      </w:r>
      <w:r w:rsidR="13E34F58">
        <w:t xml:space="preserve">samningssamböndum og einstökum viðskiptum tilkynningarskyldra aðila. </w:t>
      </w:r>
      <w:r w:rsidR="4BABA51D">
        <w:t xml:space="preserve"> </w:t>
      </w:r>
      <w:r w:rsidR="4DA6E3E5" w:rsidRPr="00E272BA">
        <w:t xml:space="preserve">Skilgreiningin byggir að hluta til á </w:t>
      </w:r>
      <w:r w:rsidR="4DA6E3E5" w:rsidRPr="47A4417F">
        <w:rPr>
          <w:color w:val="242424"/>
        </w:rPr>
        <w:t xml:space="preserve">viðmiðunarreglum evrópsku bankaeftirlitsstofnunarinnar EBA/GL/2021/02, nánar tiltekið </w:t>
      </w:r>
      <w:proofErr w:type="spellStart"/>
      <w:r w:rsidR="4DA6E3E5" w:rsidRPr="47A4417F">
        <w:rPr>
          <w:color w:val="242424"/>
        </w:rPr>
        <w:t>k-lið</w:t>
      </w:r>
      <w:proofErr w:type="spellEnd"/>
      <w:r w:rsidR="4DA6E3E5" w:rsidRPr="47A4417F">
        <w:rPr>
          <w:color w:val="242424"/>
        </w:rPr>
        <w:t xml:space="preserve"> 12. málsgreinar.</w:t>
      </w:r>
    </w:p>
    <w:p w14:paraId="2172F7E2" w14:textId="09EDCE45" w:rsidR="7749E593" w:rsidRPr="00E2296A" w:rsidRDefault="7749E593" w:rsidP="47A4417F">
      <w:pPr>
        <w:spacing w:line="259" w:lineRule="auto"/>
        <w:rPr>
          <w:color w:val="242424"/>
        </w:rPr>
      </w:pPr>
      <w:r w:rsidRPr="47A4417F">
        <w:rPr>
          <w:color w:val="242424"/>
        </w:rPr>
        <w:lastRenderedPageBreak/>
        <w:t xml:space="preserve">Í 22. </w:t>
      </w:r>
      <w:proofErr w:type="spellStart"/>
      <w:r w:rsidRPr="47A4417F">
        <w:rPr>
          <w:color w:val="242424"/>
        </w:rPr>
        <w:t>tölul</w:t>
      </w:r>
      <w:proofErr w:type="spellEnd"/>
      <w:r w:rsidRPr="47A4417F">
        <w:rPr>
          <w:color w:val="242424"/>
        </w:rPr>
        <w:t xml:space="preserve">. er lagt til að eðlislæg áhætta verði skilgreind </w:t>
      </w:r>
      <w:r w:rsidR="2017ED50" w:rsidRPr="47A4417F">
        <w:rPr>
          <w:color w:val="242424"/>
        </w:rPr>
        <w:t>sem áhætta áður en tekið er tillit til stýringa og annarra aðferða til að draga úr eða stýra áhættu.</w:t>
      </w:r>
      <w:r w:rsidR="5260EC15" w:rsidRPr="47A4417F">
        <w:rPr>
          <w:color w:val="242424"/>
        </w:rPr>
        <w:t xml:space="preserve"> </w:t>
      </w:r>
      <w:r w:rsidR="34CA38BB" w:rsidRPr="47A4417F">
        <w:rPr>
          <w:color w:val="242424"/>
        </w:rPr>
        <w:t xml:space="preserve">Þá er í 23. </w:t>
      </w:r>
      <w:proofErr w:type="spellStart"/>
      <w:r w:rsidR="34CA38BB" w:rsidRPr="47A4417F">
        <w:rPr>
          <w:color w:val="242424"/>
        </w:rPr>
        <w:t>tölul</w:t>
      </w:r>
      <w:proofErr w:type="spellEnd"/>
      <w:r w:rsidR="34CA38BB" w:rsidRPr="47A4417F">
        <w:rPr>
          <w:color w:val="242424"/>
        </w:rPr>
        <w:t xml:space="preserve">. lagt til að </w:t>
      </w:r>
      <w:proofErr w:type="spellStart"/>
      <w:r w:rsidR="34CA38BB" w:rsidRPr="47A4417F">
        <w:rPr>
          <w:color w:val="242424"/>
        </w:rPr>
        <w:t>eftirstæð</w:t>
      </w:r>
      <w:proofErr w:type="spellEnd"/>
      <w:r w:rsidR="34CA38BB" w:rsidRPr="47A4417F">
        <w:rPr>
          <w:color w:val="242424"/>
        </w:rPr>
        <w:t xml:space="preserve"> áhætta verði skilgreind sem áhætta sem er til staðar eftir að tekið hefur verið tillit til stýringa og annarra aðferða til að draga úr eða stýra áhættu.</w:t>
      </w:r>
      <w:r w:rsidR="64914AB5" w:rsidRPr="47A4417F">
        <w:rPr>
          <w:color w:val="242424"/>
        </w:rPr>
        <w:t xml:space="preserve"> Skilgreining</w:t>
      </w:r>
      <w:r w:rsidR="0AB5A140" w:rsidRPr="47A4417F">
        <w:rPr>
          <w:color w:val="242424"/>
        </w:rPr>
        <w:t>arnar byggja</w:t>
      </w:r>
      <w:r w:rsidR="64914AB5" w:rsidRPr="47A4417F">
        <w:rPr>
          <w:color w:val="242424"/>
        </w:rPr>
        <w:t xml:space="preserve"> á viðmiðunarreglum evrópsku bankaeftirlitsstofnunarinnar EBA/GL/2021/02, nánar tiltekið </w:t>
      </w:r>
      <w:r w:rsidR="22694FD2" w:rsidRPr="47A4417F">
        <w:rPr>
          <w:color w:val="242424"/>
        </w:rPr>
        <w:t xml:space="preserve">c- og </w:t>
      </w:r>
      <w:proofErr w:type="spellStart"/>
      <w:r w:rsidR="64914AB5" w:rsidRPr="47A4417F">
        <w:rPr>
          <w:color w:val="242424"/>
        </w:rPr>
        <w:t>h-lið</w:t>
      </w:r>
      <w:proofErr w:type="spellEnd"/>
      <w:r w:rsidR="64914AB5" w:rsidRPr="47A4417F">
        <w:rPr>
          <w:color w:val="242424"/>
        </w:rPr>
        <w:t xml:space="preserve"> 12. málsgreinar.</w:t>
      </w:r>
    </w:p>
    <w:p w14:paraId="2D9EA946" w14:textId="7578FE20" w:rsidR="00BE6B7A" w:rsidRDefault="3D84234E" w:rsidP="00BE6B7A">
      <w:pPr>
        <w:rPr>
          <w:color w:val="242424"/>
          <w:shd w:val="clear" w:color="auto" w:fill="FFFFFF"/>
        </w:rPr>
      </w:pPr>
      <w:r>
        <w:rPr>
          <w:color w:val="242424"/>
          <w:shd w:val="clear" w:color="auto" w:fill="FFFFFF"/>
        </w:rPr>
        <w:t xml:space="preserve">Í 24. tölulið er </w:t>
      </w:r>
      <w:r w:rsidR="4218E014">
        <w:rPr>
          <w:color w:val="242424"/>
          <w:shd w:val="clear" w:color="auto" w:fill="FFFFFF"/>
        </w:rPr>
        <w:t>lagt til</w:t>
      </w:r>
      <w:r>
        <w:rPr>
          <w:color w:val="242424"/>
          <w:shd w:val="clear" w:color="auto" w:fill="FFFFFF"/>
        </w:rPr>
        <w:t xml:space="preserve"> að </w:t>
      </w:r>
      <w:r w:rsidR="00E66A62">
        <w:rPr>
          <w:color w:val="242424"/>
          <w:shd w:val="clear" w:color="auto" w:fill="FFFFFF"/>
        </w:rPr>
        <w:t xml:space="preserve">hugtakið </w:t>
      </w:r>
      <w:r>
        <w:rPr>
          <w:color w:val="242424"/>
          <w:shd w:val="clear" w:color="auto" w:fill="FFFFFF"/>
        </w:rPr>
        <w:t xml:space="preserve"> „</w:t>
      </w:r>
      <w:r w:rsidRPr="47A4417F">
        <w:rPr>
          <w:i/>
          <w:iCs/>
          <w:color w:val="242424"/>
          <w:shd w:val="clear" w:color="auto" w:fill="FFFFFF"/>
        </w:rPr>
        <w:t>Samningssamband</w:t>
      </w:r>
      <w:r>
        <w:rPr>
          <w:color w:val="242424"/>
          <w:shd w:val="clear" w:color="auto" w:fill="FFFFFF"/>
        </w:rPr>
        <w:t>“ verði skilgrein</w:t>
      </w:r>
      <w:r w:rsidR="00E66A62">
        <w:rPr>
          <w:color w:val="242424"/>
          <w:shd w:val="clear" w:color="auto" w:fill="FFFFFF"/>
        </w:rPr>
        <w:t>t</w:t>
      </w:r>
      <w:r>
        <w:rPr>
          <w:color w:val="242424"/>
          <w:shd w:val="clear" w:color="auto" w:fill="FFFFFF"/>
        </w:rPr>
        <w:t xml:space="preserve"> en </w:t>
      </w:r>
      <w:r w:rsidR="00E66A62">
        <w:rPr>
          <w:color w:val="242424"/>
          <w:shd w:val="clear" w:color="auto" w:fill="FFFFFF"/>
        </w:rPr>
        <w:t xml:space="preserve">þetta </w:t>
      </w:r>
      <w:r>
        <w:rPr>
          <w:color w:val="242424"/>
          <w:shd w:val="clear" w:color="auto" w:fill="FFFFFF"/>
        </w:rPr>
        <w:t>hugt</w:t>
      </w:r>
      <w:r w:rsidR="00E66A62">
        <w:rPr>
          <w:color w:val="242424"/>
          <w:shd w:val="clear" w:color="auto" w:fill="FFFFFF"/>
        </w:rPr>
        <w:t>a</w:t>
      </w:r>
      <w:r>
        <w:rPr>
          <w:color w:val="242424"/>
          <w:shd w:val="clear" w:color="auto" w:fill="FFFFFF"/>
        </w:rPr>
        <w:t>k er ekki sérstaklega skilgrein</w:t>
      </w:r>
      <w:r w:rsidR="00E66A62">
        <w:rPr>
          <w:color w:val="242424"/>
          <w:shd w:val="clear" w:color="auto" w:fill="FFFFFF"/>
        </w:rPr>
        <w:t>t</w:t>
      </w:r>
      <w:r>
        <w:rPr>
          <w:color w:val="242424"/>
          <w:shd w:val="clear" w:color="auto" w:fill="FFFFFF"/>
        </w:rPr>
        <w:t xml:space="preserve"> í gildandi lögum. Í þeim athugasemdum sem gerðar voru af hálfu ESA við yfirferð á innleiðingu fjórðu peningaþvættistilskipunarinnar </w:t>
      </w:r>
      <w:r w:rsidRPr="001A0742">
        <w:rPr>
          <w:color w:val="242424"/>
          <w:shd w:val="clear" w:color="auto" w:fill="FFFFFF"/>
        </w:rPr>
        <w:t>(2015/849/EB)</w:t>
      </w:r>
      <w:r>
        <w:rPr>
          <w:color w:val="242424"/>
          <w:shd w:val="clear" w:color="auto" w:fill="FFFFFF"/>
        </w:rPr>
        <w:t xml:space="preserve"> voru gerðar athugasemdir við að skilgreiningu á hugtakinu „</w:t>
      </w:r>
      <w:proofErr w:type="spellStart"/>
      <w:r>
        <w:rPr>
          <w:color w:val="242424"/>
          <w:shd w:val="clear" w:color="auto" w:fill="FFFFFF"/>
        </w:rPr>
        <w:t>business</w:t>
      </w:r>
      <w:proofErr w:type="spellEnd"/>
      <w:r>
        <w:rPr>
          <w:color w:val="242424"/>
          <w:shd w:val="clear" w:color="auto" w:fill="FFFFFF"/>
        </w:rPr>
        <w:t xml:space="preserve"> </w:t>
      </w:r>
      <w:proofErr w:type="spellStart"/>
      <w:r>
        <w:rPr>
          <w:color w:val="242424"/>
          <w:shd w:val="clear" w:color="auto" w:fill="FFFFFF"/>
        </w:rPr>
        <w:t>relationship</w:t>
      </w:r>
      <w:proofErr w:type="spellEnd"/>
      <w:r>
        <w:rPr>
          <w:color w:val="242424"/>
          <w:shd w:val="clear" w:color="auto" w:fill="FFFFFF"/>
        </w:rPr>
        <w:t>“, eins og það er skilgreint í ákvæði 3. gr. tilskipunarinnar, væri ekki að finna í lögum nr. 140/2018. Með þessu ákvæði frumvarpsins er brugðist við þeirri athugasemd</w:t>
      </w:r>
      <w:r w:rsidR="00A00BF1">
        <w:rPr>
          <w:color w:val="242424"/>
          <w:shd w:val="clear" w:color="auto" w:fill="FFFFFF"/>
        </w:rPr>
        <w:t xml:space="preserve"> og </w:t>
      </w:r>
      <w:r w:rsidR="00E66A62">
        <w:rPr>
          <w:color w:val="242424"/>
          <w:shd w:val="clear" w:color="auto" w:fill="FFFFFF"/>
        </w:rPr>
        <w:t xml:space="preserve">hugtakið samningssamband skilgreint sem viðskiptasamband á milli tilkynningarskylds aðila og viðskiptamanns sem tilkomið er vegna viðskipta viðskiptamanns hjá tilkynningarskylda aðilanum og ætlaður er ákveðinn varanleiki. </w:t>
      </w:r>
    </w:p>
    <w:p w14:paraId="63898420" w14:textId="37196ADD" w:rsidR="00BE6B7A" w:rsidRDefault="3D84234E" w:rsidP="47A4417F">
      <w:pPr>
        <w:rPr>
          <w:color w:val="242424"/>
          <w:highlight w:val="yellow"/>
          <w:shd w:val="clear" w:color="auto" w:fill="FFFFFF"/>
        </w:rPr>
      </w:pPr>
      <w:r>
        <w:rPr>
          <w:color w:val="242424"/>
          <w:shd w:val="clear" w:color="auto" w:fill="FFFFFF"/>
        </w:rPr>
        <w:t xml:space="preserve">Framangreind </w:t>
      </w:r>
      <w:r w:rsidR="00E66A62">
        <w:rPr>
          <w:color w:val="242424"/>
          <w:shd w:val="clear" w:color="auto" w:fill="FFFFFF"/>
        </w:rPr>
        <w:t xml:space="preserve">skilgreining </w:t>
      </w:r>
      <w:r>
        <w:rPr>
          <w:color w:val="242424"/>
          <w:shd w:val="clear" w:color="auto" w:fill="FFFFFF"/>
        </w:rPr>
        <w:t>felur í sér að meta þarf í hverju tilviki hvort um sé að ræða einstök viðskipti eða viðskipti sem teljast hluti af samningssambandi og eru þá til leiðbeiningar þeir þættir sem taldir eru upp í 2</w:t>
      </w:r>
      <w:r w:rsidR="00A00BF1">
        <w:rPr>
          <w:color w:val="242424"/>
          <w:shd w:val="clear" w:color="auto" w:fill="FFFFFF"/>
        </w:rPr>
        <w:t>4</w:t>
      </w:r>
      <w:r>
        <w:rPr>
          <w:color w:val="242424"/>
          <w:shd w:val="clear" w:color="auto" w:fill="FFFFFF"/>
        </w:rPr>
        <w:t xml:space="preserve">. tölulið, þ.e. hvort um sé að ræða viðskipti viðskiptamanns hjá tilkynningarskyldum aðila sem gert er ráð fyrir að vari um einhvern tíma. Hefur þessi greinarmunur t.a.m. áhrif þegar kemur að framkvæmd áreiðanleikakönnunar samkvæmt 8. gr. laganna og reglubundnu eftirliti samkvæmt 10. gr. </w:t>
      </w:r>
      <w:r w:rsidRPr="00911C3A">
        <w:rPr>
          <w:color w:val="242424"/>
          <w:shd w:val="clear" w:color="auto" w:fill="FFFFFF"/>
        </w:rPr>
        <w:t xml:space="preserve">Má sem dæmi nefna að </w:t>
      </w:r>
      <w:r w:rsidR="77E73655">
        <w:rPr>
          <w:color w:val="242424"/>
          <w:shd w:val="clear" w:color="auto" w:fill="FFFFFF"/>
        </w:rPr>
        <w:t xml:space="preserve">eftirlit með </w:t>
      </w:r>
      <w:r w:rsidRPr="00911C3A">
        <w:rPr>
          <w:color w:val="242424"/>
          <w:shd w:val="clear" w:color="auto" w:fill="FFFFFF"/>
        </w:rPr>
        <w:t>einstök</w:t>
      </w:r>
      <w:r w:rsidR="086F352B" w:rsidRPr="00911C3A">
        <w:rPr>
          <w:color w:val="242424"/>
          <w:shd w:val="clear" w:color="auto" w:fill="FFFFFF"/>
        </w:rPr>
        <w:t>um</w:t>
      </w:r>
      <w:r w:rsidRPr="00911C3A">
        <w:rPr>
          <w:color w:val="242424"/>
          <w:shd w:val="clear" w:color="auto" w:fill="FFFFFF"/>
        </w:rPr>
        <w:t xml:space="preserve"> viðskipt</w:t>
      </w:r>
      <w:r w:rsidR="0BA67D7E" w:rsidRPr="00911C3A">
        <w:rPr>
          <w:color w:val="242424"/>
          <w:shd w:val="clear" w:color="auto" w:fill="FFFFFF"/>
        </w:rPr>
        <w:t>um</w:t>
      </w:r>
      <w:r w:rsidRPr="00911C3A">
        <w:rPr>
          <w:color w:val="242424"/>
          <w:shd w:val="clear" w:color="auto" w:fill="FFFFFF"/>
        </w:rPr>
        <w:t xml:space="preserve"> </w:t>
      </w:r>
      <w:r w:rsidR="280277DD" w:rsidRPr="00911C3A">
        <w:rPr>
          <w:color w:val="242424"/>
          <w:shd w:val="clear" w:color="auto" w:fill="FFFFFF"/>
        </w:rPr>
        <w:t>get</w:t>
      </w:r>
      <w:r w:rsidR="15DE8E20" w:rsidRPr="00911C3A">
        <w:rPr>
          <w:color w:val="242424"/>
          <w:shd w:val="clear" w:color="auto" w:fill="FFFFFF"/>
        </w:rPr>
        <w:t>ur</w:t>
      </w:r>
      <w:r w:rsidR="280277DD" w:rsidRPr="00911C3A">
        <w:rPr>
          <w:color w:val="242424"/>
          <w:shd w:val="clear" w:color="auto" w:fill="FFFFFF"/>
        </w:rPr>
        <w:t xml:space="preserve"> leitt í ljós að viðskiptin hafi </w:t>
      </w:r>
      <w:r w:rsidRPr="00911C3A">
        <w:rPr>
          <w:color w:val="242424"/>
          <w:shd w:val="clear" w:color="auto" w:fill="FFFFFF"/>
        </w:rPr>
        <w:t>þróast út í það að teljast samningssamband</w:t>
      </w:r>
      <w:r w:rsidR="7E4DCCB9" w:rsidRPr="00911C3A">
        <w:rPr>
          <w:color w:val="242424"/>
          <w:shd w:val="clear" w:color="auto" w:fill="FFFFFF"/>
        </w:rPr>
        <w:t xml:space="preserve"> samkvæmt lögunum. </w:t>
      </w:r>
    </w:p>
    <w:p w14:paraId="6AE58962" w14:textId="5EAF02EA" w:rsidR="00D269A7" w:rsidRDefault="007A6048" w:rsidP="00A66352">
      <w:pPr>
        <w:rPr>
          <w:color w:val="242424"/>
          <w:shd w:val="clear" w:color="auto" w:fill="FFFFFF"/>
        </w:rPr>
      </w:pPr>
      <w:r w:rsidRPr="00BE6B7A">
        <w:rPr>
          <w:color w:val="242424"/>
          <w:shd w:val="clear" w:color="auto" w:fill="FFFFFF"/>
        </w:rPr>
        <w:t xml:space="preserve">Lagt er til að </w:t>
      </w:r>
      <w:r w:rsidR="002C2FE0" w:rsidRPr="00BE6B7A">
        <w:rPr>
          <w:color w:val="242424"/>
          <w:shd w:val="clear" w:color="auto" w:fill="FFFFFF"/>
        </w:rPr>
        <w:t>nýr</w:t>
      </w:r>
      <w:r w:rsidRPr="00BE6B7A">
        <w:rPr>
          <w:color w:val="242424"/>
          <w:shd w:val="clear" w:color="auto" w:fill="FFFFFF"/>
        </w:rPr>
        <w:t xml:space="preserve"> tölulið</w:t>
      </w:r>
      <w:r w:rsidR="002C2FE0" w:rsidRPr="00BE6B7A">
        <w:rPr>
          <w:color w:val="242424"/>
          <w:shd w:val="clear" w:color="auto" w:fill="FFFFFF"/>
        </w:rPr>
        <w:t>u</w:t>
      </w:r>
      <w:r w:rsidRPr="00BE6B7A">
        <w:rPr>
          <w:color w:val="242424"/>
          <w:shd w:val="clear" w:color="auto" w:fill="FFFFFF"/>
        </w:rPr>
        <w:t>r</w:t>
      </w:r>
      <w:r w:rsidR="00BE6B7A">
        <w:rPr>
          <w:color w:val="242424"/>
          <w:shd w:val="clear" w:color="auto" w:fill="FFFFFF"/>
        </w:rPr>
        <w:t xml:space="preserve"> nr. 2</w:t>
      </w:r>
      <w:r w:rsidR="00E66A62">
        <w:rPr>
          <w:color w:val="242424"/>
          <w:shd w:val="clear" w:color="auto" w:fill="FFFFFF"/>
        </w:rPr>
        <w:t>5</w:t>
      </w:r>
      <w:r w:rsidRPr="00BE6B7A">
        <w:rPr>
          <w:color w:val="242424"/>
          <w:shd w:val="clear" w:color="auto" w:fill="FFFFFF"/>
        </w:rPr>
        <w:t xml:space="preserve"> bætist við 3. gr. laganna, þar sem </w:t>
      </w:r>
      <w:r w:rsidR="00D269A7" w:rsidRPr="00BE6B7A">
        <w:rPr>
          <w:color w:val="242424"/>
          <w:shd w:val="clear" w:color="auto" w:fill="FFFFFF"/>
        </w:rPr>
        <w:t>þjónustuveitendur sýndareigna verði skilgreindir</w:t>
      </w:r>
      <w:r w:rsidRPr="00BE6B7A">
        <w:rPr>
          <w:color w:val="242424"/>
          <w:shd w:val="clear" w:color="auto" w:fill="FFFFFF"/>
        </w:rPr>
        <w:t xml:space="preserve"> og </w:t>
      </w:r>
      <w:r w:rsidR="002C2FE0" w:rsidRPr="00BE6B7A">
        <w:rPr>
          <w:color w:val="242424"/>
          <w:shd w:val="clear" w:color="auto" w:fill="FFFFFF"/>
        </w:rPr>
        <w:t>undir skilgreininguna verði felldir þeir einstaklingar eða lögaðilar sem eru þjónustuveitendur stafrænna veskja.</w:t>
      </w:r>
      <w:r w:rsidR="00186D47" w:rsidRPr="00186D47">
        <w:rPr>
          <w:color w:val="242424"/>
          <w:shd w:val="clear" w:color="auto" w:fill="FFFFFF"/>
        </w:rPr>
        <w:t xml:space="preserve"> </w:t>
      </w:r>
    </w:p>
    <w:p w14:paraId="417041A6" w14:textId="542A9629" w:rsidR="006D3479" w:rsidRDefault="01E6A7D6" w:rsidP="00A66352">
      <w:pPr>
        <w:rPr>
          <w:color w:val="242424"/>
          <w:shd w:val="clear" w:color="auto" w:fill="FFFFFF"/>
        </w:rPr>
      </w:pPr>
      <w:r>
        <w:rPr>
          <w:color w:val="242424"/>
          <w:shd w:val="clear" w:color="auto" w:fill="FFFFFF"/>
        </w:rPr>
        <w:t>Í greinargerð með frumvarpi til laga um breyt</w:t>
      </w:r>
      <w:r w:rsidRPr="00BE6B7A">
        <w:rPr>
          <w:color w:val="242424"/>
          <w:shd w:val="clear" w:color="auto" w:fill="FFFFFF"/>
        </w:rPr>
        <w:t>ingu á lögum um aðgerðir gegn peningaþvætti og fjármögnun hryðjuverka nr. 64/2006 með síðari breytingum (sýndarfé og stafræn veski) voru þjónustuveitendur sýndarfjár og þjónustuveitendur stafrænna veskja felldir undir gildissvið laganna sem tilkynningarskyldir aðilar og þeim gert skylt að skrá sig hjá Fjármálaeftirlitinu (nú Seðlabanka Íslands) og lúta þeim kröfum sem eftirlitið gerði varðandi skráningarskyldu.</w:t>
      </w:r>
      <w:r w:rsidR="2AAC7BB0" w:rsidRPr="00BE6B7A">
        <w:rPr>
          <w:color w:val="242424"/>
          <w:shd w:val="clear" w:color="auto" w:fill="FFFFFF"/>
        </w:rPr>
        <w:t xml:space="preserve">  </w:t>
      </w:r>
      <w:r w:rsidRPr="00BE6B7A">
        <w:rPr>
          <w:color w:val="242424"/>
          <w:shd w:val="clear" w:color="auto" w:fill="FFFFFF"/>
        </w:rPr>
        <w:t>Ekki þykir lengur tilefni til þess að tilgreina þjónustuveitendur stafrænna veskja sérstaklega sem tilkynningarskylda aðila, heldur eru þeir með frumvarpi þessu felldir undir skilgreininguna á viðskiptum með sýndareignir</w:t>
      </w:r>
      <w:r w:rsidRPr="00BD2C89">
        <w:rPr>
          <w:color w:val="242424"/>
          <w:shd w:val="clear" w:color="auto" w:fill="FFFFFF"/>
        </w:rPr>
        <w:t xml:space="preserve"> samhliða því sem sú skilgreining er gerð víðtækari</w:t>
      </w:r>
      <w:r w:rsidRPr="00BE6B7A">
        <w:rPr>
          <w:color w:val="242424"/>
          <w:shd w:val="clear" w:color="auto" w:fill="FFFFFF"/>
        </w:rPr>
        <w:t>.</w:t>
      </w:r>
    </w:p>
    <w:p w14:paraId="061B75F5" w14:textId="34E53378" w:rsidR="007A6048" w:rsidRDefault="66C46E54" w:rsidP="00A66352">
      <w:pPr>
        <w:rPr>
          <w:color w:val="242424"/>
          <w:shd w:val="clear" w:color="auto" w:fill="FFFFFF"/>
        </w:rPr>
      </w:pPr>
      <w:r>
        <w:rPr>
          <w:color w:val="242424"/>
          <w:shd w:val="clear" w:color="auto" w:fill="FFFFFF"/>
        </w:rPr>
        <w:t xml:space="preserve">Í </w:t>
      </w:r>
      <w:r w:rsidR="14A1CDA8">
        <w:rPr>
          <w:color w:val="242424"/>
          <w:shd w:val="clear" w:color="auto" w:fill="FFFFFF"/>
        </w:rPr>
        <w:t>núgildandi lögum um aðgerðir gegn peningaþvætti og fjármögnun hryðjuverka er vísað til þjónustuveitenda sem bjóða upp á viðskipti milli sýndarfjár, rafeyris og gjaldmiðla. Með nýrri skilgreiningu</w:t>
      </w:r>
      <w:r w:rsidR="4E6EA873">
        <w:rPr>
          <w:color w:val="242424"/>
          <w:shd w:val="clear" w:color="auto" w:fill="FFFFFF"/>
        </w:rPr>
        <w:t xml:space="preserve"> á</w:t>
      </w:r>
      <w:r w:rsidR="14A1CDA8">
        <w:rPr>
          <w:color w:val="242424"/>
          <w:shd w:val="clear" w:color="auto" w:fill="FFFFFF"/>
        </w:rPr>
        <w:t xml:space="preserve"> </w:t>
      </w:r>
      <w:r w:rsidR="38A245E5">
        <w:rPr>
          <w:color w:val="242424"/>
          <w:shd w:val="clear" w:color="auto" w:fill="FFFFFF"/>
        </w:rPr>
        <w:t>þjónustuveitendum sýndareigna</w:t>
      </w:r>
      <w:r w:rsidR="14A1CDA8">
        <w:rPr>
          <w:color w:val="242424"/>
          <w:shd w:val="clear" w:color="auto" w:fill="FFFFFF"/>
        </w:rPr>
        <w:t xml:space="preserve"> er lagt til að vafi verði tekinn af </w:t>
      </w:r>
      <w:r w:rsidR="56AA4184">
        <w:rPr>
          <w:color w:val="242424"/>
          <w:shd w:val="clear" w:color="auto" w:fill="FFFFFF"/>
        </w:rPr>
        <w:t>um</w:t>
      </w:r>
      <w:r w:rsidR="14A1CDA8">
        <w:rPr>
          <w:color w:val="242424"/>
          <w:shd w:val="clear" w:color="auto" w:fill="FFFFFF"/>
        </w:rPr>
        <w:t xml:space="preserve"> að þeir aðilar sem veita þjónustu þar sem sýndareignum er skipt í aðrar sýndareignir teljist einnig til þjónustuveitenda sýndareigna, að öðrum skilyrðum uppfylltum. </w:t>
      </w:r>
      <w:r w:rsidR="01E6A7D6">
        <w:rPr>
          <w:color w:val="242424"/>
          <w:shd w:val="clear" w:color="auto" w:fill="FFFFFF"/>
        </w:rPr>
        <w:t xml:space="preserve">Í framangreindri greinargerð með frumvarpi til laga um breytingu á lögum um aðgerðir gegn peningaþvætti og fjármögnun hryðjuverka nr. 64/2006 með síðari breytingum (sýndarfé og stafræn veski) kom skýrt fram að allir þjónustuveitendur, hvort sem er einstaklingar eða lögaðilar, sem byðu upp á viðskipti milli sýndarfjár, gjaldmiðla og rafeyris, þar á meðal viðskipti milli tveggja tegunda sýndarfjár féllu undir gildissvið laganna. </w:t>
      </w:r>
      <w:r w:rsidR="38A245E5">
        <w:rPr>
          <w:color w:val="242424"/>
          <w:shd w:val="clear" w:color="auto" w:fill="FFFFFF"/>
        </w:rPr>
        <w:t xml:space="preserve">Rétt þykir að taka af allan vafa í lögum um það að einstaklingur eða lögaðili sem skiptir sýndareignum yfir í aðrar sýndareignir teljist </w:t>
      </w:r>
      <w:r w:rsidR="38A245E5">
        <w:rPr>
          <w:color w:val="242424"/>
          <w:shd w:val="clear" w:color="auto" w:fill="FFFFFF"/>
        </w:rPr>
        <w:lastRenderedPageBreak/>
        <w:t xml:space="preserve">þjónustuveitandi sýndareigna með sama hætti og einstaklingur eða lögaðili sem skiptir sýndareignum yfir í gjaldmiðil eða </w:t>
      </w:r>
      <w:proofErr w:type="spellStart"/>
      <w:r w:rsidR="38A245E5">
        <w:rPr>
          <w:color w:val="242424"/>
          <w:shd w:val="clear" w:color="auto" w:fill="FFFFFF"/>
        </w:rPr>
        <w:t>rafeyri</w:t>
      </w:r>
      <w:proofErr w:type="spellEnd"/>
      <w:r w:rsidR="38A245E5">
        <w:rPr>
          <w:color w:val="242424"/>
          <w:shd w:val="clear" w:color="auto" w:fill="FFFFFF"/>
        </w:rPr>
        <w:t xml:space="preserve"> eða einstaklingur eða lögaðili sem skiptir gjaldmiðli eða </w:t>
      </w:r>
      <w:proofErr w:type="spellStart"/>
      <w:r w:rsidR="38A245E5">
        <w:rPr>
          <w:color w:val="242424"/>
          <w:shd w:val="clear" w:color="auto" w:fill="FFFFFF"/>
        </w:rPr>
        <w:t>rafeyri</w:t>
      </w:r>
      <w:proofErr w:type="spellEnd"/>
      <w:r w:rsidR="38A245E5">
        <w:rPr>
          <w:color w:val="242424"/>
          <w:shd w:val="clear" w:color="auto" w:fill="FFFFFF"/>
        </w:rPr>
        <w:t xml:space="preserve"> yfir í sýndareignir. </w:t>
      </w:r>
    </w:p>
    <w:p w14:paraId="3B913D9F" w14:textId="50801A0E" w:rsidR="00CF25A2" w:rsidRDefault="14A1CDA8" w:rsidP="00A66352">
      <w:pPr>
        <w:rPr>
          <w:color w:val="242424"/>
          <w:shd w:val="clear" w:color="auto" w:fill="FFFFFF"/>
        </w:rPr>
      </w:pPr>
      <w:r>
        <w:rPr>
          <w:color w:val="242424"/>
          <w:shd w:val="clear" w:color="auto" w:fill="FFFFFF"/>
        </w:rPr>
        <w:t>Þá er lagt til að þjónustuveitendur sýndareigna séu skilgreindir með ítarleg</w:t>
      </w:r>
      <w:r w:rsidR="01E6A7D6">
        <w:rPr>
          <w:color w:val="242424"/>
          <w:shd w:val="clear" w:color="auto" w:fill="FFFFFF"/>
        </w:rPr>
        <w:t>ri</w:t>
      </w:r>
      <w:r>
        <w:rPr>
          <w:color w:val="242424"/>
          <w:shd w:val="clear" w:color="auto" w:fill="FFFFFF"/>
        </w:rPr>
        <w:t xml:space="preserve"> hætti</w:t>
      </w:r>
      <w:r w:rsidR="3594DD4B">
        <w:rPr>
          <w:color w:val="242424"/>
          <w:shd w:val="clear" w:color="auto" w:fill="FFFFFF"/>
        </w:rPr>
        <w:t xml:space="preserve"> </w:t>
      </w:r>
      <w:r w:rsidR="01E6A7D6">
        <w:rPr>
          <w:color w:val="242424"/>
          <w:shd w:val="clear" w:color="auto" w:fill="FFFFFF"/>
        </w:rPr>
        <w:t xml:space="preserve">en áður </w:t>
      </w:r>
      <w:r w:rsidR="3594DD4B">
        <w:rPr>
          <w:color w:val="242424"/>
          <w:shd w:val="clear" w:color="auto" w:fill="FFFFFF"/>
        </w:rPr>
        <w:t xml:space="preserve">og tekið sé fram </w:t>
      </w:r>
      <w:r w:rsidR="01E6A7D6">
        <w:rPr>
          <w:color w:val="242424"/>
          <w:shd w:val="clear" w:color="auto" w:fill="FFFFFF"/>
        </w:rPr>
        <w:t xml:space="preserve">helstu tegundir </w:t>
      </w:r>
      <w:r w:rsidR="3594DD4B">
        <w:rPr>
          <w:color w:val="242424"/>
          <w:shd w:val="clear" w:color="auto" w:fill="FFFFFF"/>
        </w:rPr>
        <w:t>þjónust</w:t>
      </w:r>
      <w:r w:rsidR="01E6A7D6">
        <w:rPr>
          <w:color w:val="242424"/>
          <w:shd w:val="clear" w:color="auto" w:fill="FFFFFF"/>
        </w:rPr>
        <w:t>u</w:t>
      </w:r>
      <w:r w:rsidR="38A245E5">
        <w:rPr>
          <w:color w:val="242424"/>
          <w:shd w:val="clear" w:color="auto" w:fill="FFFFFF"/>
        </w:rPr>
        <w:t xml:space="preserve"> sem</w:t>
      </w:r>
      <w:r w:rsidR="3594DD4B">
        <w:rPr>
          <w:color w:val="242424"/>
          <w:shd w:val="clear" w:color="auto" w:fill="FFFFFF"/>
        </w:rPr>
        <w:t xml:space="preserve"> falli undir skilgreininguna. Skilgreiningin á þjónustuveitendum vegna sýndareigna verði þannig </w:t>
      </w:r>
      <w:r>
        <w:rPr>
          <w:color w:val="242424"/>
          <w:shd w:val="clear" w:color="auto" w:fill="FFFFFF"/>
        </w:rPr>
        <w:t xml:space="preserve">í </w:t>
      </w:r>
      <w:r w:rsidR="3594DD4B">
        <w:rPr>
          <w:color w:val="242424"/>
          <w:shd w:val="clear" w:color="auto" w:fill="FFFFFF"/>
        </w:rPr>
        <w:t xml:space="preserve">fullu </w:t>
      </w:r>
      <w:r>
        <w:rPr>
          <w:color w:val="242424"/>
          <w:shd w:val="clear" w:color="auto" w:fill="FFFFFF"/>
        </w:rPr>
        <w:t xml:space="preserve">samræmi við </w:t>
      </w:r>
      <w:r w:rsidR="3594DD4B">
        <w:rPr>
          <w:color w:val="242424"/>
          <w:shd w:val="clear" w:color="auto" w:fill="FFFFFF"/>
        </w:rPr>
        <w:t xml:space="preserve">samsvarandi skilgreiningu á vettvangi </w:t>
      </w:r>
      <w:r>
        <w:rPr>
          <w:color w:val="242424"/>
          <w:shd w:val="clear" w:color="auto" w:fill="FFFFFF"/>
        </w:rPr>
        <w:t>FATF</w:t>
      </w:r>
      <w:r w:rsidR="3594DD4B">
        <w:rPr>
          <w:color w:val="242424"/>
          <w:shd w:val="clear" w:color="auto" w:fill="FFFFFF"/>
        </w:rPr>
        <w:t>,</w:t>
      </w:r>
      <w:r>
        <w:rPr>
          <w:color w:val="242424"/>
          <w:shd w:val="clear" w:color="auto" w:fill="FFFFFF"/>
        </w:rPr>
        <w:t xml:space="preserve"> sem </w:t>
      </w:r>
      <w:r w:rsidR="3594DD4B">
        <w:rPr>
          <w:color w:val="242424"/>
          <w:shd w:val="clear" w:color="auto" w:fill="FFFFFF"/>
        </w:rPr>
        <w:t xml:space="preserve">er </w:t>
      </w:r>
      <w:r>
        <w:rPr>
          <w:color w:val="242424"/>
          <w:shd w:val="clear" w:color="auto" w:fill="FFFFFF"/>
        </w:rPr>
        <w:t>eftirfarandi:</w:t>
      </w:r>
    </w:p>
    <w:p w14:paraId="39DCA201" w14:textId="6FD76250" w:rsidR="00CF25A2" w:rsidRPr="00CF25A2" w:rsidRDefault="000C58D3" w:rsidP="000C58D3">
      <w:pPr>
        <w:shd w:val="clear" w:color="auto" w:fill="FFFFFF"/>
        <w:ind w:left="284" w:firstLine="0"/>
        <w:rPr>
          <w:rFonts w:eastAsia="Times New Roman"/>
          <w:i/>
          <w:iCs/>
          <w:color w:val="333333"/>
          <w:szCs w:val="21"/>
        </w:rPr>
      </w:pPr>
      <w:r w:rsidRPr="000C58D3">
        <w:rPr>
          <w:rFonts w:eastAsia="Times New Roman"/>
          <w:i/>
          <w:iCs/>
          <w:color w:val="333333"/>
          <w:szCs w:val="21"/>
        </w:rPr>
        <w:t>„</w:t>
      </w:r>
      <w:r w:rsidR="00CF25A2" w:rsidRPr="00CF25A2">
        <w:rPr>
          <w:rFonts w:eastAsia="Times New Roman"/>
          <w:i/>
          <w:iCs/>
          <w:color w:val="333333"/>
          <w:szCs w:val="21"/>
        </w:rPr>
        <w:t xml:space="preserve">Virtual </w:t>
      </w:r>
      <w:proofErr w:type="spellStart"/>
      <w:r w:rsidR="00CF25A2" w:rsidRPr="00CF25A2">
        <w:rPr>
          <w:rFonts w:eastAsia="Times New Roman"/>
          <w:i/>
          <w:iCs/>
          <w:color w:val="333333"/>
          <w:szCs w:val="21"/>
        </w:rPr>
        <w:t>asset</w:t>
      </w:r>
      <w:proofErr w:type="spellEnd"/>
      <w:r w:rsidR="00CF25A2" w:rsidRPr="00CF25A2">
        <w:rPr>
          <w:rFonts w:eastAsia="Times New Roman"/>
          <w:i/>
          <w:iCs/>
          <w:color w:val="333333"/>
          <w:szCs w:val="21"/>
        </w:rPr>
        <w:t xml:space="preserve"> </w:t>
      </w:r>
      <w:proofErr w:type="spellStart"/>
      <w:r w:rsidR="00CF25A2" w:rsidRPr="00CF25A2">
        <w:rPr>
          <w:rFonts w:eastAsia="Times New Roman"/>
          <w:i/>
          <w:iCs/>
          <w:color w:val="333333"/>
          <w:szCs w:val="21"/>
        </w:rPr>
        <w:t>service</w:t>
      </w:r>
      <w:proofErr w:type="spellEnd"/>
      <w:r w:rsidR="00CF25A2" w:rsidRPr="00CF25A2">
        <w:rPr>
          <w:rFonts w:eastAsia="Times New Roman"/>
          <w:i/>
          <w:iCs/>
          <w:color w:val="333333"/>
          <w:szCs w:val="21"/>
        </w:rPr>
        <w:t xml:space="preserve"> </w:t>
      </w:r>
      <w:proofErr w:type="spellStart"/>
      <w:r w:rsidR="00CF25A2" w:rsidRPr="00CF25A2">
        <w:rPr>
          <w:rFonts w:eastAsia="Times New Roman"/>
          <w:i/>
          <w:iCs/>
          <w:color w:val="333333"/>
          <w:szCs w:val="21"/>
        </w:rPr>
        <w:t>provider</w:t>
      </w:r>
      <w:proofErr w:type="spellEnd"/>
      <w:r w:rsidR="00CF25A2" w:rsidRPr="00CF25A2">
        <w:rPr>
          <w:rFonts w:eastAsia="Times New Roman"/>
          <w:i/>
          <w:iCs/>
          <w:color w:val="333333"/>
          <w:szCs w:val="21"/>
        </w:rPr>
        <w:t xml:space="preserve"> </w:t>
      </w:r>
      <w:proofErr w:type="spellStart"/>
      <w:r w:rsidR="00CF25A2" w:rsidRPr="00CF25A2">
        <w:rPr>
          <w:rFonts w:eastAsia="Times New Roman"/>
          <w:i/>
          <w:iCs/>
          <w:color w:val="333333"/>
          <w:szCs w:val="21"/>
        </w:rPr>
        <w:t>means</w:t>
      </w:r>
      <w:proofErr w:type="spellEnd"/>
      <w:r w:rsidR="00CF25A2" w:rsidRPr="00CF25A2">
        <w:rPr>
          <w:rFonts w:eastAsia="Times New Roman"/>
          <w:i/>
          <w:iCs/>
          <w:color w:val="333333"/>
          <w:szCs w:val="21"/>
        </w:rPr>
        <w:t xml:space="preserve"> any </w:t>
      </w:r>
      <w:proofErr w:type="spellStart"/>
      <w:r w:rsidR="00CF25A2" w:rsidRPr="00CF25A2">
        <w:rPr>
          <w:rFonts w:eastAsia="Times New Roman"/>
          <w:i/>
          <w:iCs/>
          <w:color w:val="333333"/>
          <w:szCs w:val="21"/>
        </w:rPr>
        <w:t>natural</w:t>
      </w:r>
      <w:proofErr w:type="spellEnd"/>
      <w:r w:rsidR="00CF25A2" w:rsidRPr="00CF25A2">
        <w:rPr>
          <w:rFonts w:eastAsia="Times New Roman"/>
          <w:i/>
          <w:iCs/>
          <w:color w:val="333333"/>
          <w:szCs w:val="21"/>
        </w:rPr>
        <w:t xml:space="preserve"> </w:t>
      </w:r>
      <w:proofErr w:type="spellStart"/>
      <w:r w:rsidR="00CF25A2" w:rsidRPr="00CF25A2">
        <w:rPr>
          <w:rFonts w:eastAsia="Times New Roman"/>
          <w:i/>
          <w:iCs/>
          <w:color w:val="333333"/>
          <w:szCs w:val="21"/>
        </w:rPr>
        <w:t>or</w:t>
      </w:r>
      <w:proofErr w:type="spellEnd"/>
      <w:r w:rsidR="00CF25A2" w:rsidRPr="00CF25A2">
        <w:rPr>
          <w:rFonts w:eastAsia="Times New Roman"/>
          <w:i/>
          <w:iCs/>
          <w:color w:val="333333"/>
          <w:szCs w:val="21"/>
        </w:rPr>
        <w:t xml:space="preserve"> </w:t>
      </w:r>
      <w:proofErr w:type="spellStart"/>
      <w:r w:rsidR="00CF25A2" w:rsidRPr="00CF25A2">
        <w:rPr>
          <w:rFonts w:eastAsia="Times New Roman"/>
          <w:i/>
          <w:iCs/>
          <w:color w:val="333333"/>
          <w:szCs w:val="21"/>
        </w:rPr>
        <w:t>legal</w:t>
      </w:r>
      <w:proofErr w:type="spellEnd"/>
      <w:r w:rsidR="00CF25A2" w:rsidRPr="00CF25A2">
        <w:rPr>
          <w:rFonts w:eastAsia="Times New Roman"/>
          <w:i/>
          <w:iCs/>
          <w:color w:val="333333"/>
          <w:szCs w:val="21"/>
        </w:rPr>
        <w:t xml:space="preserve"> person </w:t>
      </w:r>
      <w:proofErr w:type="spellStart"/>
      <w:r w:rsidR="00CF25A2" w:rsidRPr="00CF25A2">
        <w:rPr>
          <w:rFonts w:eastAsia="Times New Roman"/>
          <w:i/>
          <w:iCs/>
          <w:color w:val="333333"/>
          <w:szCs w:val="21"/>
        </w:rPr>
        <w:t>who</w:t>
      </w:r>
      <w:proofErr w:type="spellEnd"/>
      <w:r w:rsidR="00CF25A2" w:rsidRPr="00CF25A2">
        <w:rPr>
          <w:rFonts w:eastAsia="Times New Roman"/>
          <w:i/>
          <w:iCs/>
          <w:color w:val="333333"/>
          <w:szCs w:val="21"/>
        </w:rPr>
        <w:t xml:space="preserve"> is not </w:t>
      </w:r>
      <w:proofErr w:type="spellStart"/>
      <w:r w:rsidR="00CF25A2" w:rsidRPr="00CF25A2">
        <w:rPr>
          <w:rFonts w:eastAsia="Times New Roman"/>
          <w:i/>
          <w:iCs/>
          <w:color w:val="333333"/>
          <w:szCs w:val="21"/>
        </w:rPr>
        <w:t>covered</w:t>
      </w:r>
      <w:proofErr w:type="spellEnd"/>
      <w:r w:rsidR="00CF25A2" w:rsidRPr="00CF25A2">
        <w:rPr>
          <w:rFonts w:eastAsia="Times New Roman"/>
          <w:i/>
          <w:iCs/>
          <w:color w:val="333333"/>
          <w:szCs w:val="21"/>
        </w:rPr>
        <w:t xml:space="preserve"> </w:t>
      </w:r>
      <w:proofErr w:type="spellStart"/>
      <w:r w:rsidR="00CF25A2" w:rsidRPr="00CF25A2">
        <w:rPr>
          <w:rFonts w:eastAsia="Times New Roman"/>
          <w:i/>
          <w:iCs/>
          <w:color w:val="333333"/>
          <w:szCs w:val="21"/>
        </w:rPr>
        <w:t>elsewhere</w:t>
      </w:r>
      <w:proofErr w:type="spellEnd"/>
      <w:r w:rsidR="00CF25A2" w:rsidRPr="00CF25A2">
        <w:rPr>
          <w:rFonts w:eastAsia="Times New Roman"/>
          <w:i/>
          <w:iCs/>
          <w:color w:val="333333"/>
          <w:szCs w:val="21"/>
        </w:rPr>
        <w:t xml:space="preserve"> under </w:t>
      </w:r>
      <w:proofErr w:type="spellStart"/>
      <w:r w:rsidR="00CF25A2" w:rsidRPr="00CF25A2">
        <w:rPr>
          <w:rFonts w:eastAsia="Times New Roman"/>
          <w:i/>
          <w:iCs/>
          <w:color w:val="333333"/>
          <w:szCs w:val="21"/>
        </w:rPr>
        <w:t>the</w:t>
      </w:r>
      <w:proofErr w:type="spellEnd"/>
      <w:r w:rsidR="00CF25A2" w:rsidRPr="00CF25A2">
        <w:rPr>
          <w:rFonts w:eastAsia="Times New Roman"/>
          <w:i/>
          <w:iCs/>
          <w:color w:val="333333"/>
          <w:szCs w:val="21"/>
        </w:rPr>
        <w:t xml:space="preserve"> </w:t>
      </w:r>
      <w:proofErr w:type="spellStart"/>
      <w:r w:rsidR="00CF25A2" w:rsidRPr="00CF25A2">
        <w:rPr>
          <w:rFonts w:eastAsia="Times New Roman"/>
          <w:i/>
          <w:iCs/>
          <w:color w:val="333333"/>
          <w:szCs w:val="21"/>
        </w:rPr>
        <w:t>Recommendations</w:t>
      </w:r>
      <w:proofErr w:type="spellEnd"/>
      <w:r w:rsidR="00CF25A2" w:rsidRPr="00CF25A2">
        <w:rPr>
          <w:rFonts w:eastAsia="Times New Roman"/>
          <w:i/>
          <w:iCs/>
          <w:color w:val="333333"/>
          <w:szCs w:val="21"/>
        </w:rPr>
        <w:t xml:space="preserve">, </w:t>
      </w:r>
      <w:proofErr w:type="spellStart"/>
      <w:r w:rsidR="00CF25A2" w:rsidRPr="00CF25A2">
        <w:rPr>
          <w:rFonts w:eastAsia="Times New Roman"/>
          <w:i/>
          <w:iCs/>
          <w:color w:val="333333"/>
          <w:szCs w:val="21"/>
        </w:rPr>
        <w:t>and</w:t>
      </w:r>
      <w:proofErr w:type="spellEnd"/>
      <w:r w:rsidR="00CF25A2" w:rsidRPr="00CF25A2">
        <w:rPr>
          <w:rFonts w:eastAsia="Times New Roman"/>
          <w:i/>
          <w:iCs/>
          <w:color w:val="333333"/>
          <w:szCs w:val="21"/>
        </w:rPr>
        <w:t xml:space="preserve"> </w:t>
      </w:r>
      <w:proofErr w:type="spellStart"/>
      <w:r w:rsidR="00CF25A2" w:rsidRPr="00CF25A2">
        <w:rPr>
          <w:rFonts w:eastAsia="Times New Roman"/>
          <w:i/>
          <w:iCs/>
          <w:color w:val="333333"/>
          <w:szCs w:val="21"/>
        </w:rPr>
        <w:t>as</w:t>
      </w:r>
      <w:proofErr w:type="spellEnd"/>
      <w:r w:rsidR="00CF25A2" w:rsidRPr="00CF25A2">
        <w:rPr>
          <w:rFonts w:eastAsia="Times New Roman"/>
          <w:i/>
          <w:iCs/>
          <w:color w:val="333333"/>
          <w:szCs w:val="21"/>
        </w:rPr>
        <w:t xml:space="preserve"> a </w:t>
      </w:r>
      <w:proofErr w:type="spellStart"/>
      <w:r w:rsidR="00CF25A2" w:rsidRPr="00CF25A2">
        <w:rPr>
          <w:rFonts w:eastAsia="Times New Roman"/>
          <w:i/>
          <w:iCs/>
          <w:color w:val="333333"/>
          <w:szCs w:val="21"/>
        </w:rPr>
        <w:t>business</w:t>
      </w:r>
      <w:proofErr w:type="spellEnd"/>
      <w:r w:rsidR="00CF25A2" w:rsidRPr="00CF25A2">
        <w:rPr>
          <w:rFonts w:eastAsia="Times New Roman"/>
          <w:i/>
          <w:iCs/>
          <w:color w:val="333333"/>
          <w:szCs w:val="21"/>
        </w:rPr>
        <w:t xml:space="preserve"> </w:t>
      </w:r>
      <w:proofErr w:type="spellStart"/>
      <w:r w:rsidR="00CF25A2" w:rsidRPr="00CF25A2">
        <w:rPr>
          <w:rFonts w:eastAsia="Times New Roman"/>
          <w:i/>
          <w:iCs/>
          <w:color w:val="333333"/>
          <w:szCs w:val="21"/>
        </w:rPr>
        <w:t>conducts</w:t>
      </w:r>
      <w:proofErr w:type="spellEnd"/>
      <w:r w:rsidR="00CF25A2" w:rsidRPr="00CF25A2">
        <w:rPr>
          <w:rFonts w:eastAsia="Times New Roman"/>
          <w:i/>
          <w:iCs/>
          <w:color w:val="333333"/>
          <w:szCs w:val="21"/>
        </w:rPr>
        <w:t xml:space="preserve"> </w:t>
      </w:r>
      <w:proofErr w:type="spellStart"/>
      <w:r w:rsidR="00CF25A2" w:rsidRPr="00CF25A2">
        <w:rPr>
          <w:rFonts w:eastAsia="Times New Roman"/>
          <w:i/>
          <w:iCs/>
          <w:color w:val="333333"/>
          <w:szCs w:val="21"/>
        </w:rPr>
        <w:t>one</w:t>
      </w:r>
      <w:proofErr w:type="spellEnd"/>
      <w:r w:rsidR="00CF25A2" w:rsidRPr="00CF25A2">
        <w:rPr>
          <w:rFonts w:eastAsia="Times New Roman"/>
          <w:i/>
          <w:iCs/>
          <w:color w:val="333333"/>
          <w:szCs w:val="21"/>
        </w:rPr>
        <w:t> </w:t>
      </w:r>
      <w:proofErr w:type="spellStart"/>
      <w:r w:rsidR="00CF25A2" w:rsidRPr="00CF25A2">
        <w:rPr>
          <w:rFonts w:eastAsia="Times New Roman"/>
          <w:i/>
          <w:iCs/>
          <w:color w:val="333333"/>
          <w:szCs w:val="21"/>
        </w:rPr>
        <w:t>or</w:t>
      </w:r>
      <w:proofErr w:type="spellEnd"/>
      <w:r w:rsidR="00CF25A2" w:rsidRPr="00CF25A2">
        <w:rPr>
          <w:rFonts w:eastAsia="Times New Roman"/>
          <w:i/>
          <w:iCs/>
          <w:color w:val="333333"/>
          <w:szCs w:val="21"/>
        </w:rPr>
        <w:t xml:space="preserve"> </w:t>
      </w:r>
      <w:proofErr w:type="spellStart"/>
      <w:r w:rsidR="00CF25A2" w:rsidRPr="00CF25A2">
        <w:rPr>
          <w:rFonts w:eastAsia="Times New Roman"/>
          <w:i/>
          <w:iCs/>
          <w:color w:val="333333"/>
          <w:szCs w:val="21"/>
        </w:rPr>
        <w:t>more</w:t>
      </w:r>
      <w:proofErr w:type="spellEnd"/>
      <w:r w:rsidR="00CF25A2" w:rsidRPr="00CF25A2">
        <w:rPr>
          <w:rFonts w:eastAsia="Times New Roman"/>
          <w:i/>
          <w:iCs/>
          <w:color w:val="333333"/>
          <w:szCs w:val="21"/>
        </w:rPr>
        <w:t xml:space="preserve"> of </w:t>
      </w:r>
      <w:proofErr w:type="spellStart"/>
      <w:r w:rsidR="00CF25A2" w:rsidRPr="00CF25A2">
        <w:rPr>
          <w:rFonts w:eastAsia="Times New Roman"/>
          <w:i/>
          <w:iCs/>
          <w:color w:val="333333"/>
          <w:szCs w:val="21"/>
        </w:rPr>
        <w:t>the</w:t>
      </w:r>
      <w:proofErr w:type="spellEnd"/>
      <w:r w:rsidR="00CF25A2" w:rsidRPr="00CF25A2">
        <w:rPr>
          <w:rFonts w:eastAsia="Times New Roman"/>
          <w:i/>
          <w:iCs/>
          <w:color w:val="333333"/>
          <w:szCs w:val="21"/>
        </w:rPr>
        <w:t xml:space="preserve"> </w:t>
      </w:r>
      <w:proofErr w:type="spellStart"/>
      <w:r w:rsidR="00CF25A2" w:rsidRPr="00CF25A2">
        <w:rPr>
          <w:rFonts w:eastAsia="Times New Roman"/>
          <w:i/>
          <w:iCs/>
          <w:color w:val="333333"/>
          <w:szCs w:val="21"/>
        </w:rPr>
        <w:t>following</w:t>
      </w:r>
      <w:proofErr w:type="spellEnd"/>
      <w:r w:rsidR="00CF25A2" w:rsidRPr="00CF25A2">
        <w:rPr>
          <w:rFonts w:eastAsia="Times New Roman"/>
          <w:i/>
          <w:iCs/>
          <w:color w:val="333333"/>
          <w:szCs w:val="21"/>
        </w:rPr>
        <w:t xml:space="preserve"> </w:t>
      </w:r>
      <w:proofErr w:type="spellStart"/>
      <w:r w:rsidR="00CF25A2" w:rsidRPr="00CF25A2">
        <w:rPr>
          <w:rFonts w:eastAsia="Times New Roman"/>
          <w:i/>
          <w:iCs/>
          <w:color w:val="333333"/>
          <w:szCs w:val="21"/>
        </w:rPr>
        <w:t>activities</w:t>
      </w:r>
      <w:proofErr w:type="spellEnd"/>
      <w:r w:rsidR="00CF25A2" w:rsidRPr="00CF25A2">
        <w:rPr>
          <w:rFonts w:eastAsia="Times New Roman"/>
          <w:i/>
          <w:iCs/>
          <w:color w:val="333333"/>
          <w:szCs w:val="21"/>
        </w:rPr>
        <w:t xml:space="preserve"> </w:t>
      </w:r>
      <w:proofErr w:type="spellStart"/>
      <w:r w:rsidR="00CF25A2" w:rsidRPr="00CF25A2">
        <w:rPr>
          <w:rFonts w:eastAsia="Times New Roman"/>
          <w:i/>
          <w:iCs/>
          <w:color w:val="333333"/>
          <w:szCs w:val="21"/>
        </w:rPr>
        <w:t>or</w:t>
      </w:r>
      <w:proofErr w:type="spellEnd"/>
      <w:r w:rsidR="00CF25A2" w:rsidRPr="00CF25A2">
        <w:rPr>
          <w:rFonts w:eastAsia="Times New Roman"/>
          <w:i/>
          <w:iCs/>
          <w:color w:val="333333"/>
          <w:szCs w:val="21"/>
        </w:rPr>
        <w:t xml:space="preserve"> </w:t>
      </w:r>
      <w:proofErr w:type="spellStart"/>
      <w:r w:rsidR="00CF25A2" w:rsidRPr="00CF25A2">
        <w:rPr>
          <w:rFonts w:eastAsia="Times New Roman"/>
          <w:i/>
          <w:iCs/>
          <w:color w:val="333333"/>
          <w:szCs w:val="21"/>
        </w:rPr>
        <w:t>operations</w:t>
      </w:r>
      <w:proofErr w:type="spellEnd"/>
      <w:r w:rsidR="00CF25A2" w:rsidRPr="00CF25A2">
        <w:rPr>
          <w:rFonts w:eastAsia="Times New Roman"/>
          <w:i/>
          <w:iCs/>
          <w:color w:val="333333"/>
          <w:szCs w:val="21"/>
        </w:rPr>
        <w:t xml:space="preserve"> for </w:t>
      </w:r>
      <w:proofErr w:type="spellStart"/>
      <w:r w:rsidR="00CF25A2" w:rsidRPr="00CF25A2">
        <w:rPr>
          <w:rFonts w:eastAsia="Times New Roman"/>
          <w:i/>
          <w:iCs/>
          <w:color w:val="333333"/>
          <w:szCs w:val="21"/>
        </w:rPr>
        <w:t>or</w:t>
      </w:r>
      <w:proofErr w:type="spellEnd"/>
      <w:r w:rsidR="00CF25A2" w:rsidRPr="00CF25A2">
        <w:rPr>
          <w:rFonts w:eastAsia="Times New Roman"/>
          <w:i/>
          <w:iCs/>
          <w:color w:val="333333"/>
          <w:szCs w:val="21"/>
        </w:rPr>
        <w:t xml:space="preserve"> on </w:t>
      </w:r>
      <w:proofErr w:type="spellStart"/>
      <w:r w:rsidR="00CF25A2" w:rsidRPr="00CF25A2">
        <w:rPr>
          <w:rFonts w:eastAsia="Times New Roman"/>
          <w:i/>
          <w:iCs/>
          <w:color w:val="333333"/>
          <w:szCs w:val="21"/>
        </w:rPr>
        <w:t>behalf</w:t>
      </w:r>
      <w:proofErr w:type="spellEnd"/>
      <w:r w:rsidR="00CF25A2" w:rsidRPr="00CF25A2">
        <w:rPr>
          <w:rFonts w:eastAsia="Times New Roman"/>
          <w:i/>
          <w:iCs/>
          <w:color w:val="333333"/>
          <w:szCs w:val="21"/>
        </w:rPr>
        <w:t xml:space="preserve"> of </w:t>
      </w:r>
      <w:proofErr w:type="spellStart"/>
      <w:r w:rsidR="00CF25A2" w:rsidRPr="00CF25A2">
        <w:rPr>
          <w:rFonts w:eastAsia="Times New Roman"/>
          <w:i/>
          <w:iCs/>
          <w:color w:val="333333"/>
          <w:szCs w:val="21"/>
        </w:rPr>
        <w:t>another</w:t>
      </w:r>
      <w:proofErr w:type="spellEnd"/>
      <w:r w:rsidR="00CF25A2" w:rsidRPr="00CF25A2">
        <w:rPr>
          <w:rFonts w:eastAsia="Times New Roman"/>
          <w:i/>
          <w:iCs/>
          <w:color w:val="333333"/>
          <w:szCs w:val="21"/>
        </w:rPr>
        <w:t> </w:t>
      </w:r>
      <w:proofErr w:type="spellStart"/>
      <w:r w:rsidR="00CF25A2" w:rsidRPr="00CF25A2">
        <w:rPr>
          <w:rFonts w:eastAsia="Times New Roman"/>
          <w:i/>
          <w:iCs/>
          <w:color w:val="333333"/>
          <w:szCs w:val="21"/>
        </w:rPr>
        <w:t>natural</w:t>
      </w:r>
      <w:proofErr w:type="spellEnd"/>
      <w:r w:rsidR="00CF25A2" w:rsidRPr="00CF25A2">
        <w:rPr>
          <w:rFonts w:eastAsia="Times New Roman"/>
          <w:i/>
          <w:iCs/>
          <w:color w:val="333333"/>
          <w:szCs w:val="21"/>
        </w:rPr>
        <w:t xml:space="preserve"> </w:t>
      </w:r>
      <w:proofErr w:type="spellStart"/>
      <w:r w:rsidR="00CF25A2" w:rsidRPr="00CF25A2">
        <w:rPr>
          <w:rFonts w:eastAsia="Times New Roman"/>
          <w:i/>
          <w:iCs/>
          <w:color w:val="333333"/>
          <w:szCs w:val="21"/>
        </w:rPr>
        <w:t>or</w:t>
      </w:r>
      <w:proofErr w:type="spellEnd"/>
      <w:r w:rsidR="00CF25A2" w:rsidRPr="00CF25A2">
        <w:rPr>
          <w:rFonts w:eastAsia="Times New Roman"/>
          <w:i/>
          <w:iCs/>
          <w:color w:val="333333"/>
          <w:szCs w:val="21"/>
        </w:rPr>
        <w:t xml:space="preserve"> </w:t>
      </w:r>
      <w:proofErr w:type="spellStart"/>
      <w:r w:rsidR="00CF25A2" w:rsidRPr="00CF25A2">
        <w:rPr>
          <w:rFonts w:eastAsia="Times New Roman"/>
          <w:i/>
          <w:iCs/>
          <w:color w:val="333333"/>
          <w:szCs w:val="21"/>
        </w:rPr>
        <w:t>legal</w:t>
      </w:r>
      <w:proofErr w:type="spellEnd"/>
      <w:r w:rsidR="00CF25A2" w:rsidRPr="00CF25A2">
        <w:rPr>
          <w:rFonts w:eastAsia="Times New Roman"/>
          <w:i/>
          <w:iCs/>
          <w:color w:val="333333"/>
          <w:szCs w:val="21"/>
        </w:rPr>
        <w:t xml:space="preserve"> person:</w:t>
      </w:r>
    </w:p>
    <w:p w14:paraId="603FD04F" w14:textId="1589E0AD" w:rsidR="00CF25A2" w:rsidRPr="00CF25A2" w:rsidRDefault="00CF25A2" w:rsidP="000C58D3">
      <w:pPr>
        <w:shd w:val="clear" w:color="auto" w:fill="FFFFFF"/>
        <w:ind w:left="284"/>
        <w:rPr>
          <w:rFonts w:eastAsia="Times New Roman"/>
          <w:i/>
          <w:iCs/>
          <w:color w:val="333333"/>
          <w:szCs w:val="21"/>
        </w:rPr>
      </w:pPr>
      <w:r w:rsidRPr="00CF25A2">
        <w:rPr>
          <w:rFonts w:eastAsia="Times New Roman"/>
          <w:i/>
          <w:iCs/>
          <w:color w:val="333333"/>
          <w:szCs w:val="21"/>
        </w:rPr>
        <w:t>i.</w:t>
      </w:r>
      <w:r w:rsidRPr="000C58D3">
        <w:rPr>
          <w:rFonts w:eastAsia="Times New Roman"/>
          <w:i/>
          <w:iCs/>
          <w:color w:val="333333"/>
          <w:szCs w:val="21"/>
        </w:rPr>
        <w:t xml:space="preserve"> </w:t>
      </w:r>
      <w:proofErr w:type="spellStart"/>
      <w:r w:rsidRPr="00CF25A2">
        <w:rPr>
          <w:rFonts w:eastAsia="Times New Roman"/>
          <w:i/>
          <w:iCs/>
          <w:color w:val="333333"/>
          <w:szCs w:val="21"/>
        </w:rPr>
        <w:t>exchange</w:t>
      </w:r>
      <w:proofErr w:type="spellEnd"/>
      <w:r w:rsidRPr="00CF25A2">
        <w:rPr>
          <w:rFonts w:eastAsia="Times New Roman"/>
          <w:i/>
          <w:iCs/>
          <w:color w:val="333333"/>
          <w:szCs w:val="21"/>
        </w:rPr>
        <w:t xml:space="preserve"> </w:t>
      </w:r>
      <w:proofErr w:type="spellStart"/>
      <w:r w:rsidRPr="00CF25A2">
        <w:rPr>
          <w:rFonts w:eastAsia="Times New Roman"/>
          <w:i/>
          <w:iCs/>
          <w:color w:val="333333"/>
          <w:szCs w:val="21"/>
        </w:rPr>
        <w:t>between</w:t>
      </w:r>
      <w:proofErr w:type="spellEnd"/>
      <w:r w:rsidRPr="00CF25A2">
        <w:rPr>
          <w:rFonts w:eastAsia="Times New Roman"/>
          <w:i/>
          <w:iCs/>
          <w:color w:val="333333"/>
          <w:szCs w:val="21"/>
        </w:rPr>
        <w:t xml:space="preserve"> </w:t>
      </w:r>
      <w:proofErr w:type="spellStart"/>
      <w:r w:rsidRPr="00CF25A2">
        <w:rPr>
          <w:rFonts w:eastAsia="Times New Roman"/>
          <w:i/>
          <w:iCs/>
          <w:color w:val="333333"/>
          <w:szCs w:val="21"/>
        </w:rPr>
        <w:t>virtual</w:t>
      </w:r>
      <w:proofErr w:type="spellEnd"/>
      <w:r w:rsidRPr="00CF25A2">
        <w:rPr>
          <w:rFonts w:eastAsia="Times New Roman"/>
          <w:i/>
          <w:iCs/>
          <w:color w:val="333333"/>
          <w:szCs w:val="21"/>
        </w:rPr>
        <w:t xml:space="preserve"> </w:t>
      </w:r>
      <w:proofErr w:type="spellStart"/>
      <w:r w:rsidRPr="00CF25A2">
        <w:rPr>
          <w:rFonts w:eastAsia="Times New Roman"/>
          <w:i/>
          <w:iCs/>
          <w:color w:val="333333"/>
          <w:szCs w:val="21"/>
        </w:rPr>
        <w:t>assets</w:t>
      </w:r>
      <w:proofErr w:type="spellEnd"/>
      <w:r w:rsidRPr="00CF25A2">
        <w:rPr>
          <w:rFonts w:eastAsia="Times New Roman"/>
          <w:i/>
          <w:iCs/>
          <w:color w:val="333333"/>
          <w:szCs w:val="21"/>
        </w:rPr>
        <w:t xml:space="preserve"> </w:t>
      </w:r>
      <w:proofErr w:type="spellStart"/>
      <w:r w:rsidRPr="00CF25A2">
        <w:rPr>
          <w:rFonts w:eastAsia="Times New Roman"/>
          <w:i/>
          <w:iCs/>
          <w:color w:val="333333"/>
          <w:szCs w:val="21"/>
        </w:rPr>
        <w:t>and</w:t>
      </w:r>
      <w:proofErr w:type="spellEnd"/>
      <w:r w:rsidRPr="00CF25A2">
        <w:rPr>
          <w:rFonts w:eastAsia="Times New Roman"/>
          <w:i/>
          <w:iCs/>
          <w:color w:val="333333"/>
          <w:szCs w:val="21"/>
        </w:rPr>
        <w:t xml:space="preserve"> </w:t>
      </w:r>
      <w:proofErr w:type="spellStart"/>
      <w:r w:rsidRPr="00CF25A2">
        <w:rPr>
          <w:rFonts w:eastAsia="Times New Roman"/>
          <w:i/>
          <w:iCs/>
          <w:color w:val="333333"/>
          <w:szCs w:val="21"/>
        </w:rPr>
        <w:t>fiat</w:t>
      </w:r>
      <w:proofErr w:type="spellEnd"/>
      <w:r w:rsidRPr="00CF25A2">
        <w:rPr>
          <w:rFonts w:eastAsia="Times New Roman"/>
          <w:i/>
          <w:iCs/>
          <w:color w:val="333333"/>
          <w:szCs w:val="21"/>
        </w:rPr>
        <w:t xml:space="preserve"> </w:t>
      </w:r>
      <w:proofErr w:type="spellStart"/>
      <w:r w:rsidRPr="00CF25A2">
        <w:rPr>
          <w:rFonts w:eastAsia="Times New Roman"/>
          <w:i/>
          <w:iCs/>
          <w:color w:val="333333"/>
          <w:szCs w:val="21"/>
        </w:rPr>
        <w:t>currencies</w:t>
      </w:r>
      <w:proofErr w:type="spellEnd"/>
      <w:r w:rsidRPr="00CF25A2">
        <w:rPr>
          <w:rFonts w:eastAsia="Times New Roman"/>
          <w:i/>
          <w:iCs/>
          <w:color w:val="333333"/>
          <w:szCs w:val="21"/>
        </w:rPr>
        <w:t>;</w:t>
      </w:r>
    </w:p>
    <w:p w14:paraId="0B275FA3" w14:textId="77777777" w:rsidR="00CF25A2" w:rsidRPr="00CF25A2" w:rsidRDefault="00CF25A2" w:rsidP="000C58D3">
      <w:pPr>
        <w:shd w:val="clear" w:color="auto" w:fill="FFFFFF"/>
        <w:ind w:left="284"/>
        <w:rPr>
          <w:rFonts w:eastAsia="Times New Roman"/>
          <w:i/>
          <w:iCs/>
          <w:color w:val="333333"/>
          <w:szCs w:val="21"/>
        </w:rPr>
      </w:pPr>
      <w:r w:rsidRPr="00CF25A2">
        <w:rPr>
          <w:rFonts w:eastAsia="Times New Roman"/>
          <w:i/>
          <w:iCs/>
          <w:color w:val="333333"/>
          <w:szCs w:val="21"/>
        </w:rPr>
        <w:t xml:space="preserve">ii. </w:t>
      </w:r>
      <w:proofErr w:type="spellStart"/>
      <w:r w:rsidRPr="00CF25A2">
        <w:rPr>
          <w:rFonts w:eastAsia="Times New Roman"/>
          <w:i/>
          <w:iCs/>
          <w:color w:val="333333"/>
          <w:szCs w:val="21"/>
        </w:rPr>
        <w:t>exchange</w:t>
      </w:r>
      <w:proofErr w:type="spellEnd"/>
      <w:r w:rsidRPr="00CF25A2">
        <w:rPr>
          <w:rFonts w:eastAsia="Times New Roman"/>
          <w:i/>
          <w:iCs/>
          <w:color w:val="333333"/>
          <w:szCs w:val="21"/>
        </w:rPr>
        <w:t xml:space="preserve"> </w:t>
      </w:r>
      <w:proofErr w:type="spellStart"/>
      <w:r w:rsidRPr="00CF25A2">
        <w:rPr>
          <w:rFonts w:eastAsia="Times New Roman"/>
          <w:i/>
          <w:iCs/>
          <w:color w:val="333333"/>
          <w:szCs w:val="21"/>
        </w:rPr>
        <w:t>between</w:t>
      </w:r>
      <w:proofErr w:type="spellEnd"/>
      <w:r w:rsidRPr="00CF25A2">
        <w:rPr>
          <w:rFonts w:eastAsia="Times New Roman"/>
          <w:i/>
          <w:iCs/>
          <w:color w:val="333333"/>
          <w:szCs w:val="21"/>
        </w:rPr>
        <w:t xml:space="preserve"> </w:t>
      </w:r>
      <w:proofErr w:type="spellStart"/>
      <w:r w:rsidRPr="00CF25A2">
        <w:rPr>
          <w:rFonts w:eastAsia="Times New Roman"/>
          <w:i/>
          <w:iCs/>
          <w:color w:val="333333"/>
          <w:szCs w:val="21"/>
        </w:rPr>
        <w:t>one</w:t>
      </w:r>
      <w:proofErr w:type="spellEnd"/>
      <w:r w:rsidRPr="00CF25A2">
        <w:rPr>
          <w:rFonts w:eastAsia="Times New Roman"/>
          <w:i/>
          <w:iCs/>
          <w:color w:val="333333"/>
          <w:szCs w:val="21"/>
        </w:rPr>
        <w:t xml:space="preserve"> </w:t>
      </w:r>
      <w:proofErr w:type="spellStart"/>
      <w:r w:rsidRPr="00CF25A2">
        <w:rPr>
          <w:rFonts w:eastAsia="Times New Roman"/>
          <w:i/>
          <w:iCs/>
          <w:color w:val="333333"/>
          <w:szCs w:val="21"/>
        </w:rPr>
        <w:t>or</w:t>
      </w:r>
      <w:proofErr w:type="spellEnd"/>
      <w:r w:rsidRPr="00CF25A2">
        <w:rPr>
          <w:rFonts w:eastAsia="Times New Roman"/>
          <w:i/>
          <w:iCs/>
          <w:color w:val="333333"/>
          <w:szCs w:val="21"/>
        </w:rPr>
        <w:t xml:space="preserve"> </w:t>
      </w:r>
      <w:proofErr w:type="spellStart"/>
      <w:r w:rsidRPr="00CF25A2">
        <w:rPr>
          <w:rFonts w:eastAsia="Times New Roman"/>
          <w:i/>
          <w:iCs/>
          <w:color w:val="333333"/>
          <w:szCs w:val="21"/>
        </w:rPr>
        <w:t>more</w:t>
      </w:r>
      <w:proofErr w:type="spellEnd"/>
      <w:r w:rsidRPr="00CF25A2">
        <w:rPr>
          <w:rFonts w:eastAsia="Times New Roman"/>
          <w:i/>
          <w:iCs/>
          <w:color w:val="333333"/>
          <w:szCs w:val="21"/>
        </w:rPr>
        <w:t xml:space="preserve"> forms of </w:t>
      </w:r>
      <w:proofErr w:type="spellStart"/>
      <w:r w:rsidRPr="00CF25A2">
        <w:rPr>
          <w:rFonts w:eastAsia="Times New Roman"/>
          <w:i/>
          <w:iCs/>
          <w:color w:val="333333"/>
          <w:szCs w:val="21"/>
        </w:rPr>
        <w:t>virtual</w:t>
      </w:r>
      <w:proofErr w:type="spellEnd"/>
      <w:r w:rsidRPr="00CF25A2">
        <w:rPr>
          <w:rFonts w:eastAsia="Times New Roman"/>
          <w:i/>
          <w:iCs/>
          <w:color w:val="333333"/>
          <w:szCs w:val="21"/>
        </w:rPr>
        <w:t xml:space="preserve"> </w:t>
      </w:r>
      <w:proofErr w:type="spellStart"/>
      <w:r w:rsidRPr="00CF25A2">
        <w:rPr>
          <w:rFonts w:eastAsia="Times New Roman"/>
          <w:i/>
          <w:iCs/>
          <w:color w:val="333333"/>
          <w:szCs w:val="21"/>
        </w:rPr>
        <w:t>assets</w:t>
      </w:r>
      <w:proofErr w:type="spellEnd"/>
      <w:r w:rsidRPr="00CF25A2">
        <w:rPr>
          <w:rFonts w:eastAsia="Times New Roman"/>
          <w:i/>
          <w:iCs/>
          <w:color w:val="333333"/>
          <w:szCs w:val="21"/>
        </w:rPr>
        <w:t>;</w:t>
      </w:r>
    </w:p>
    <w:p w14:paraId="008CAA23" w14:textId="4889BF5A" w:rsidR="00CF25A2" w:rsidRPr="00CF25A2" w:rsidRDefault="00CF25A2" w:rsidP="000C58D3">
      <w:pPr>
        <w:shd w:val="clear" w:color="auto" w:fill="FFFFFF"/>
        <w:ind w:left="284"/>
        <w:rPr>
          <w:rFonts w:eastAsia="Times New Roman"/>
          <w:i/>
          <w:iCs/>
          <w:color w:val="333333"/>
          <w:szCs w:val="21"/>
        </w:rPr>
      </w:pPr>
      <w:r w:rsidRPr="00CF25A2">
        <w:rPr>
          <w:rFonts w:eastAsia="Times New Roman"/>
          <w:i/>
          <w:iCs/>
          <w:color w:val="333333"/>
          <w:szCs w:val="21"/>
        </w:rPr>
        <w:t xml:space="preserve">iii. </w:t>
      </w:r>
      <w:proofErr w:type="spellStart"/>
      <w:r w:rsidRPr="00CF25A2">
        <w:rPr>
          <w:rFonts w:eastAsia="Times New Roman"/>
          <w:i/>
          <w:iCs/>
          <w:color w:val="333333"/>
          <w:szCs w:val="21"/>
        </w:rPr>
        <w:t>transfer</w:t>
      </w:r>
      <w:proofErr w:type="spellEnd"/>
      <w:r w:rsidRPr="00CF25A2">
        <w:rPr>
          <w:rFonts w:eastAsia="Times New Roman"/>
          <w:i/>
          <w:iCs/>
          <w:color w:val="333333"/>
          <w:szCs w:val="21"/>
        </w:rPr>
        <w:t xml:space="preserve"> of </w:t>
      </w:r>
      <w:proofErr w:type="spellStart"/>
      <w:r w:rsidRPr="00CF25A2">
        <w:rPr>
          <w:rFonts w:eastAsia="Times New Roman"/>
          <w:i/>
          <w:iCs/>
          <w:color w:val="333333"/>
          <w:szCs w:val="21"/>
        </w:rPr>
        <w:t>virtual</w:t>
      </w:r>
      <w:proofErr w:type="spellEnd"/>
      <w:r w:rsidRPr="00CF25A2">
        <w:rPr>
          <w:rFonts w:eastAsia="Times New Roman"/>
          <w:i/>
          <w:iCs/>
          <w:color w:val="333333"/>
          <w:szCs w:val="21"/>
        </w:rPr>
        <w:t xml:space="preserve"> </w:t>
      </w:r>
      <w:proofErr w:type="spellStart"/>
      <w:r w:rsidRPr="00CF25A2">
        <w:rPr>
          <w:rFonts w:eastAsia="Times New Roman"/>
          <w:i/>
          <w:iCs/>
          <w:color w:val="333333"/>
          <w:szCs w:val="21"/>
        </w:rPr>
        <w:t>assets</w:t>
      </w:r>
      <w:proofErr w:type="spellEnd"/>
      <w:r w:rsidRPr="00CF25A2">
        <w:rPr>
          <w:rFonts w:eastAsia="Times New Roman"/>
          <w:i/>
          <w:iCs/>
          <w:color w:val="333333"/>
          <w:szCs w:val="21"/>
        </w:rPr>
        <w:t>;</w:t>
      </w:r>
    </w:p>
    <w:p w14:paraId="2F67C3DA" w14:textId="77777777" w:rsidR="00CF25A2" w:rsidRPr="00CF25A2" w:rsidRDefault="00CF25A2" w:rsidP="000C58D3">
      <w:pPr>
        <w:shd w:val="clear" w:color="auto" w:fill="FFFFFF"/>
        <w:ind w:left="568" w:firstLine="0"/>
        <w:rPr>
          <w:rFonts w:eastAsia="Times New Roman"/>
          <w:i/>
          <w:iCs/>
          <w:color w:val="333333"/>
          <w:szCs w:val="21"/>
        </w:rPr>
      </w:pPr>
      <w:r w:rsidRPr="00CF25A2">
        <w:rPr>
          <w:rFonts w:eastAsia="Times New Roman"/>
          <w:i/>
          <w:iCs/>
          <w:color w:val="333333"/>
          <w:szCs w:val="21"/>
        </w:rPr>
        <w:t xml:space="preserve">iv. </w:t>
      </w:r>
      <w:proofErr w:type="spellStart"/>
      <w:r w:rsidRPr="00CF25A2">
        <w:rPr>
          <w:rFonts w:eastAsia="Times New Roman"/>
          <w:i/>
          <w:iCs/>
          <w:color w:val="333333"/>
          <w:szCs w:val="21"/>
        </w:rPr>
        <w:t>safekeeping</w:t>
      </w:r>
      <w:proofErr w:type="spellEnd"/>
      <w:r w:rsidRPr="00CF25A2">
        <w:rPr>
          <w:rFonts w:eastAsia="Times New Roman"/>
          <w:i/>
          <w:iCs/>
          <w:color w:val="333333"/>
          <w:szCs w:val="21"/>
        </w:rPr>
        <w:t xml:space="preserve"> </w:t>
      </w:r>
      <w:proofErr w:type="spellStart"/>
      <w:r w:rsidRPr="00CF25A2">
        <w:rPr>
          <w:rFonts w:eastAsia="Times New Roman"/>
          <w:i/>
          <w:iCs/>
          <w:color w:val="333333"/>
          <w:szCs w:val="21"/>
        </w:rPr>
        <w:t>and</w:t>
      </w:r>
      <w:proofErr w:type="spellEnd"/>
      <w:r w:rsidRPr="00CF25A2">
        <w:rPr>
          <w:rFonts w:eastAsia="Times New Roman"/>
          <w:i/>
          <w:iCs/>
          <w:color w:val="333333"/>
          <w:szCs w:val="21"/>
        </w:rPr>
        <w:t>/</w:t>
      </w:r>
      <w:proofErr w:type="spellStart"/>
      <w:r w:rsidRPr="00CF25A2">
        <w:rPr>
          <w:rFonts w:eastAsia="Times New Roman"/>
          <w:i/>
          <w:iCs/>
          <w:color w:val="333333"/>
          <w:szCs w:val="21"/>
        </w:rPr>
        <w:t>or</w:t>
      </w:r>
      <w:proofErr w:type="spellEnd"/>
      <w:r w:rsidRPr="00CF25A2">
        <w:rPr>
          <w:rFonts w:eastAsia="Times New Roman"/>
          <w:i/>
          <w:iCs/>
          <w:color w:val="333333"/>
          <w:szCs w:val="21"/>
        </w:rPr>
        <w:t xml:space="preserve"> </w:t>
      </w:r>
      <w:proofErr w:type="spellStart"/>
      <w:r w:rsidRPr="00CF25A2">
        <w:rPr>
          <w:rFonts w:eastAsia="Times New Roman"/>
          <w:i/>
          <w:iCs/>
          <w:color w:val="333333"/>
          <w:szCs w:val="21"/>
        </w:rPr>
        <w:t>administration</w:t>
      </w:r>
      <w:proofErr w:type="spellEnd"/>
      <w:r w:rsidRPr="00CF25A2">
        <w:rPr>
          <w:rFonts w:eastAsia="Times New Roman"/>
          <w:i/>
          <w:iCs/>
          <w:color w:val="333333"/>
          <w:szCs w:val="21"/>
        </w:rPr>
        <w:t xml:space="preserve"> of </w:t>
      </w:r>
      <w:proofErr w:type="spellStart"/>
      <w:r w:rsidRPr="00CF25A2">
        <w:rPr>
          <w:rFonts w:eastAsia="Times New Roman"/>
          <w:i/>
          <w:iCs/>
          <w:color w:val="333333"/>
          <w:szCs w:val="21"/>
        </w:rPr>
        <w:t>virtual</w:t>
      </w:r>
      <w:proofErr w:type="spellEnd"/>
      <w:r w:rsidRPr="00CF25A2">
        <w:rPr>
          <w:rFonts w:eastAsia="Times New Roman"/>
          <w:i/>
          <w:iCs/>
          <w:color w:val="333333"/>
          <w:szCs w:val="21"/>
        </w:rPr>
        <w:t xml:space="preserve"> </w:t>
      </w:r>
      <w:proofErr w:type="spellStart"/>
      <w:r w:rsidRPr="00CF25A2">
        <w:rPr>
          <w:rFonts w:eastAsia="Times New Roman"/>
          <w:i/>
          <w:iCs/>
          <w:color w:val="333333"/>
          <w:szCs w:val="21"/>
        </w:rPr>
        <w:t>assets</w:t>
      </w:r>
      <w:proofErr w:type="spellEnd"/>
      <w:r w:rsidRPr="00CF25A2">
        <w:rPr>
          <w:rFonts w:eastAsia="Times New Roman"/>
          <w:i/>
          <w:iCs/>
          <w:color w:val="333333"/>
          <w:szCs w:val="21"/>
        </w:rPr>
        <w:t xml:space="preserve"> </w:t>
      </w:r>
      <w:proofErr w:type="spellStart"/>
      <w:r w:rsidRPr="00CF25A2">
        <w:rPr>
          <w:rFonts w:eastAsia="Times New Roman"/>
          <w:i/>
          <w:iCs/>
          <w:color w:val="333333"/>
          <w:szCs w:val="21"/>
        </w:rPr>
        <w:t>or</w:t>
      </w:r>
      <w:proofErr w:type="spellEnd"/>
      <w:r w:rsidRPr="00CF25A2">
        <w:rPr>
          <w:rFonts w:eastAsia="Times New Roman"/>
          <w:i/>
          <w:iCs/>
          <w:color w:val="333333"/>
          <w:szCs w:val="21"/>
        </w:rPr>
        <w:t xml:space="preserve"> </w:t>
      </w:r>
      <w:proofErr w:type="spellStart"/>
      <w:r w:rsidRPr="00CF25A2">
        <w:rPr>
          <w:rFonts w:eastAsia="Times New Roman"/>
          <w:i/>
          <w:iCs/>
          <w:color w:val="333333"/>
          <w:szCs w:val="21"/>
        </w:rPr>
        <w:t>instruments</w:t>
      </w:r>
      <w:proofErr w:type="spellEnd"/>
      <w:r w:rsidRPr="00CF25A2">
        <w:rPr>
          <w:rFonts w:eastAsia="Times New Roman"/>
          <w:i/>
          <w:iCs/>
          <w:color w:val="333333"/>
          <w:szCs w:val="21"/>
        </w:rPr>
        <w:t xml:space="preserve"> enabling </w:t>
      </w:r>
      <w:proofErr w:type="spellStart"/>
      <w:r w:rsidRPr="00CF25A2">
        <w:rPr>
          <w:rFonts w:eastAsia="Times New Roman"/>
          <w:i/>
          <w:iCs/>
          <w:color w:val="333333"/>
          <w:szCs w:val="21"/>
        </w:rPr>
        <w:t>control</w:t>
      </w:r>
      <w:proofErr w:type="spellEnd"/>
      <w:r w:rsidRPr="00CF25A2">
        <w:rPr>
          <w:rFonts w:eastAsia="Times New Roman"/>
          <w:i/>
          <w:iCs/>
          <w:color w:val="333333"/>
          <w:szCs w:val="21"/>
        </w:rPr>
        <w:t xml:space="preserve"> </w:t>
      </w:r>
      <w:proofErr w:type="spellStart"/>
      <w:r w:rsidRPr="00CF25A2">
        <w:rPr>
          <w:rFonts w:eastAsia="Times New Roman"/>
          <w:i/>
          <w:iCs/>
          <w:color w:val="333333"/>
          <w:szCs w:val="21"/>
        </w:rPr>
        <w:t>over</w:t>
      </w:r>
      <w:proofErr w:type="spellEnd"/>
      <w:r w:rsidRPr="00CF25A2">
        <w:rPr>
          <w:rFonts w:eastAsia="Times New Roman"/>
          <w:i/>
          <w:iCs/>
          <w:color w:val="333333"/>
          <w:szCs w:val="21"/>
        </w:rPr>
        <w:t xml:space="preserve"> </w:t>
      </w:r>
      <w:proofErr w:type="spellStart"/>
      <w:r w:rsidRPr="00CF25A2">
        <w:rPr>
          <w:rFonts w:eastAsia="Times New Roman"/>
          <w:i/>
          <w:iCs/>
          <w:color w:val="333333"/>
          <w:szCs w:val="21"/>
        </w:rPr>
        <w:t>virtual</w:t>
      </w:r>
      <w:proofErr w:type="spellEnd"/>
      <w:r w:rsidRPr="00CF25A2">
        <w:rPr>
          <w:rFonts w:eastAsia="Times New Roman"/>
          <w:i/>
          <w:iCs/>
          <w:color w:val="333333"/>
          <w:szCs w:val="21"/>
        </w:rPr>
        <w:t xml:space="preserve"> </w:t>
      </w:r>
      <w:proofErr w:type="spellStart"/>
      <w:r w:rsidRPr="00CF25A2">
        <w:rPr>
          <w:rFonts w:eastAsia="Times New Roman"/>
          <w:i/>
          <w:iCs/>
          <w:color w:val="333333"/>
          <w:szCs w:val="21"/>
        </w:rPr>
        <w:t>assets</w:t>
      </w:r>
      <w:proofErr w:type="spellEnd"/>
      <w:r w:rsidRPr="00CF25A2">
        <w:rPr>
          <w:rFonts w:eastAsia="Times New Roman"/>
          <w:i/>
          <w:iCs/>
          <w:color w:val="333333"/>
          <w:szCs w:val="21"/>
        </w:rPr>
        <w:t xml:space="preserve">; </w:t>
      </w:r>
      <w:proofErr w:type="spellStart"/>
      <w:r w:rsidRPr="00CF25A2">
        <w:rPr>
          <w:rFonts w:eastAsia="Times New Roman"/>
          <w:i/>
          <w:iCs/>
          <w:color w:val="333333"/>
          <w:szCs w:val="21"/>
        </w:rPr>
        <w:t>and</w:t>
      </w:r>
      <w:proofErr w:type="spellEnd"/>
    </w:p>
    <w:p w14:paraId="41A5FAFC" w14:textId="77777777" w:rsidR="00BE6B7A" w:rsidRDefault="00CF25A2" w:rsidP="00BE6B7A">
      <w:pPr>
        <w:ind w:left="568" w:firstLine="0"/>
        <w:rPr>
          <w:rFonts w:eastAsia="Times New Roman"/>
          <w:iCs/>
          <w:color w:val="333333"/>
          <w:szCs w:val="21"/>
        </w:rPr>
      </w:pPr>
      <w:r w:rsidRPr="00CF25A2">
        <w:rPr>
          <w:rFonts w:eastAsia="Times New Roman"/>
          <w:i/>
          <w:iCs/>
          <w:color w:val="333333"/>
          <w:szCs w:val="21"/>
        </w:rPr>
        <w:t xml:space="preserve">v. </w:t>
      </w:r>
      <w:proofErr w:type="spellStart"/>
      <w:r w:rsidRPr="00CF25A2">
        <w:rPr>
          <w:rFonts w:eastAsia="Times New Roman"/>
          <w:i/>
          <w:iCs/>
          <w:color w:val="333333"/>
          <w:szCs w:val="21"/>
        </w:rPr>
        <w:t>participation</w:t>
      </w:r>
      <w:proofErr w:type="spellEnd"/>
      <w:r w:rsidRPr="00CF25A2">
        <w:rPr>
          <w:rFonts w:eastAsia="Times New Roman"/>
          <w:i/>
          <w:iCs/>
          <w:color w:val="333333"/>
          <w:szCs w:val="21"/>
        </w:rPr>
        <w:t xml:space="preserve"> </w:t>
      </w:r>
      <w:proofErr w:type="spellStart"/>
      <w:r w:rsidRPr="00CF25A2">
        <w:rPr>
          <w:rFonts w:eastAsia="Times New Roman"/>
          <w:i/>
          <w:iCs/>
          <w:color w:val="333333"/>
          <w:szCs w:val="21"/>
        </w:rPr>
        <w:t>in</w:t>
      </w:r>
      <w:proofErr w:type="spellEnd"/>
      <w:r w:rsidRPr="00CF25A2">
        <w:rPr>
          <w:rFonts w:eastAsia="Times New Roman"/>
          <w:i/>
          <w:iCs/>
          <w:color w:val="333333"/>
          <w:szCs w:val="21"/>
        </w:rPr>
        <w:t xml:space="preserve"> </w:t>
      </w:r>
      <w:proofErr w:type="spellStart"/>
      <w:r w:rsidRPr="00CF25A2">
        <w:rPr>
          <w:rFonts w:eastAsia="Times New Roman"/>
          <w:i/>
          <w:iCs/>
          <w:color w:val="333333"/>
          <w:szCs w:val="21"/>
        </w:rPr>
        <w:t>and</w:t>
      </w:r>
      <w:proofErr w:type="spellEnd"/>
      <w:r w:rsidRPr="00CF25A2">
        <w:rPr>
          <w:rFonts w:eastAsia="Times New Roman"/>
          <w:i/>
          <w:iCs/>
          <w:color w:val="333333"/>
          <w:szCs w:val="21"/>
        </w:rPr>
        <w:t xml:space="preserve"> provision of </w:t>
      </w:r>
      <w:proofErr w:type="spellStart"/>
      <w:r w:rsidRPr="00CF25A2">
        <w:rPr>
          <w:rFonts w:eastAsia="Times New Roman"/>
          <w:i/>
          <w:iCs/>
          <w:color w:val="333333"/>
          <w:szCs w:val="21"/>
        </w:rPr>
        <w:t>financial</w:t>
      </w:r>
      <w:proofErr w:type="spellEnd"/>
      <w:r w:rsidRPr="00CF25A2">
        <w:rPr>
          <w:rFonts w:eastAsia="Times New Roman"/>
          <w:i/>
          <w:iCs/>
          <w:color w:val="333333"/>
          <w:szCs w:val="21"/>
        </w:rPr>
        <w:t xml:space="preserve"> </w:t>
      </w:r>
      <w:proofErr w:type="spellStart"/>
      <w:r w:rsidRPr="00CF25A2">
        <w:rPr>
          <w:rFonts w:eastAsia="Times New Roman"/>
          <w:i/>
          <w:iCs/>
          <w:color w:val="333333"/>
          <w:szCs w:val="21"/>
        </w:rPr>
        <w:t>services</w:t>
      </w:r>
      <w:proofErr w:type="spellEnd"/>
      <w:r w:rsidRPr="00CF25A2">
        <w:rPr>
          <w:rFonts w:eastAsia="Times New Roman"/>
          <w:i/>
          <w:iCs/>
          <w:color w:val="333333"/>
          <w:szCs w:val="21"/>
        </w:rPr>
        <w:t xml:space="preserve"> </w:t>
      </w:r>
      <w:proofErr w:type="spellStart"/>
      <w:r w:rsidRPr="00CF25A2">
        <w:rPr>
          <w:rFonts w:eastAsia="Times New Roman"/>
          <w:i/>
          <w:iCs/>
          <w:color w:val="333333"/>
          <w:szCs w:val="21"/>
        </w:rPr>
        <w:t>related</w:t>
      </w:r>
      <w:proofErr w:type="spellEnd"/>
      <w:r w:rsidRPr="00CF25A2">
        <w:rPr>
          <w:rFonts w:eastAsia="Times New Roman"/>
          <w:i/>
          <w:iCs/>
          <w:color w:val="333333"/>
          <w:szCs w:val="21"/>
        </w:rPr>
        <w:t xml:space="preserve"> </w:t>
      </w:r>
      <w:proofErr w:type="spellStart"/>
      <w:r w:rsidRPr="00CF25A2">
        <w:rPr>
          <w:rFonts w:eastAsia="Times New Roman"/>
          <w:i/>
          <w:iCs/>
          <w:color w:val="333333"/>
          <w:szCs w:val="21"/>
        </w:rPr>
        <w:t>to</w:t>
      </w:r>
      <w:proofErr w:type="spellEnd"/>
      <w:r w:rsidRPr="00CF25A2">
        <w:rPr>
          <w:rFonts w:eastAsia="Times New Roman"/>
          <w:i/>
          <w:iCs/>
          <w:color w:val="333333"/>
          <w:szCs w:val="21"/>
        </w:rPr>
        <w:t xml:space="preserve"> an </w:t>
      </w:r>
      <w:proofErr w:type="spellStart"/>
      <w:r w:rsidRPr="00CF25A2">
        <w:rPr>
          <w:rFonts w:eastAsia="Times New Roman"/>
          <w:i/>
          <w:iCs/>
          <w:color w:val="333333"/>
          <w:szCs w:val="21"/>
        </w:rPr>
        <w:t>issuer’s</w:t>
      </w:r>
      <w:proofErr w:type="spellEnd"/>
      <w:r w:rsidRPr="00CF25A2">
        <w:rPr>
          <w:rFonts w:eastAsia="Times New Roman"/>
          <w:i/>
          <w:iCs/>
          <w:color w:val="333333"/>
          <w:szCs w:val="21"/>
        </w:rPr>
        <w:t> </w:t>
      </w:r>
      <w:proofErr w:type="spellStart"/>
      <w:r w:rsidRPr="00CF25A2">
        <w:rPr>
          <w:rFonts w:eastAsia="Times New Roman"/>
          <w:i/>
          <w:iCs/>
          <w:color w:val="333333"/>
          <w:szCs w:val="21"/>
        </w:rPr>
        <w:t>offer</w:t>
      </w:r>
      <w:proofErr w:type="spellEnd"/>
      <w:r w:rsidRPr="00CF25A2">
        <w:rPr>
          <w:rFonts w:eastAsia="Times New Roman"/>
          <w:i/>
          <w:iCs/>
          <w:color w:val="333333"/>
          <w:szCs w:val="21"/>
        </w:rPr>
        <w:t xml:space="preserve"> </w:t>
      </w:r>
      <w:proofErr w:type="spellStart"/>
      <w:r w:rsidRPr="00CF25A2">
        <w:rPr>
          <w:rFonts w:eastAsia="Times New Roman"/>
          <w:i/>
          <w:iCs/>
          <w:color w:val="333333"/>
          <w:szCs w:val="21"/>
        </w:rPr>
        <w:t>and</w:t>
      </w:r>
      <w:proofErr w:type="spellEnd"/>
      <w:r w:rsidRPr="00CF25A2">
        <w:rPr>
          <w:rFonts w:eastAsia="Times New Roman"/>
          <w:i/>
          <w:iCs/>
          <w:color w:val="333333"/>
          <w:szCs w:val="21"/>
        </w:rPr>
        <w:t>/</w:t>
      </w:r>
      <w:proofErr w:type="spellStart"/>
      <w:r w:rsidRPr="00CF25A2">
        <w:rPr>
          <w:rFonts w:eastAsia="Times New Roman"/>
          <w:i/>
          <w:iCs/>
          <w:color w:val="333333"/>
          <w:szCs w:val="21"/>
        </w:rPr>
        <w:t>or</w:t>
      </w:r>
      <w:proofErr w:type="spellEnd"/>
      <w:r w:rsidRPr="00CF25A2">
        <w:rPr>
          <w:rFonts w:eastAsia="Times New Roman"/>
          <w:i/>
          <w:iCs/>
          <w:color w:val="333333"/>
          <w:szCs w:val="21"/>
        </w:rPr>
        <w:t xml:space="preserve"> </w:t>
      </w:r>
      <w:proofErr w:type="spellStart"/>
      <w:r w:rsidRPr="00CF25A2">
        <w:rPr>
          <w:rFonts w:eastAsia="Times New Roman"/>
          <w:i/>
          <w:iCs/>
          <w:color w:val="333333"/>
          <w:szCs w:val="21"/>
        </w:rPr>
        <w:t>sale</w:t>
      </w:r>
      <w:proofErr w:type="spellEnd"/>
      <w:r w:rsidRPr="00CF25A2">
        <w:rPr>
          <w:rFonts w:eastAsia="Times New Roman"/>
          <w:i/>
          <w:iCs/>
          <w:color w:val="333333"/>
          <w:szCs w:val="21"/>
        </w:rPr>
        <w:t xml:space="preserve"> of a </w:t>
      </w:r>
      <w:proofErr w:type="spellStart"/>
      <w:r w:rsidRPr="00CF25A2">
        <w:rPr>
          <w:rFonts w:eastAsia="Times New Roman"/>
          <w:i/>
          <w:iCs/>
          <w:color w:val="333333"/>
          <w:szCs w:val="21"/>
        </w:rPr>
        <w:t>virtual</w:t>
      </w:r>
      <w:proofErr w:type="spellEnd"/>
      <w:r w:rsidRPr="00CF25A2">
        <w:rPr>
          <w:rFonts w:eastAsia="Times New Roman"/>
          <w:i/>
          <w:iCs/>
          <w:color w:val="333333"/>
          <w:szCs w:val="21"/>
        </w:rPr>
        <w:t xml:space="preserve"> </w:t>
      </w:r>
      <w:proofErr w:type="spellStart"/>
      <w:r w:rsidRPr="00CF25A2">
        <w:rPr>
          <w:rFonts w:eastAsia="Times New Roman"/>
          <w:i/>
          <w:iCs/>
          <w:color w:val="333333"/>
          <w:szCs w:val="21"/>
        </w:rPr>
        <w:t>asset</w:t>
      </w:r>
      <w:proofErr w:type="spellEnd"/>
      <w:r w:rsidRPr="00CF25A2">
        <w:rPr>
          <w:rFonts w:eastAsia="Times New Roman"/>
          <w:i/>
          <w:iCs/>
          <w:color w:val="333333"/>
          <w:szCs w:val="21"/>
        </w:rPr>
        <w:t>.</w:t>
      </w:r>
      <w:r w:rsidR="000C58D3" w:rsidRPr="000C58D3">
        <w:rPr>
          <w:rFonts w:eastAsia="Times New Roman"/>
          <w:i/>
          <w:iCs/>
          <w:color w:val="333333"/>
          <w:szCs w:val="21"/>
        </w:rPr>
        <w:t>“</w:t>
      </w:r>
      <w:r w:rsidR="00D269A7">
        <w:rPr>
          <w:rFonts w:eastAsia="Times New Roman"/>
          <w:iCs/>
          <w:color w:val="333333"/>
          <w:szCs w:val="21"/>
        </w:rPr>
        <w:tab/>
      </w:r>
    </w:p>
    <w:p w14:paraId="118DF9FE" w14:textId="65EFF564" w:rsidR="00B05E90" w:rsidRDefault="00D269A7" w:rsidP="00CA5280">
      <w:pPr>
        <w:rPr>
          <w:rFonts w:eastAsia="Times New Roman"/>
          <w:iCs/>
          <w:color w:val="333333"/>
          <w:szCs w:val="21"/>
        </w:rPr>
      </w:pPr>
      <w:r>
        <w:rPr>
          <w:rFonts w:eastAsia="Times New Roman"/>
          <w:iCs/>
          <w:color w:val="333333"/>
          <w:szCs w:val="21"/>
        </w:rPr>
        <w:t xml:space="preserve">Framangreindri skilgreiningu er ætlað að ná </w:t>
      </w:r>
      <w:r w:rsidR="00E96627">
        <w:rPr>
          <w:rFonts w:eastAsia="Times New Roman"/>
          <w:iCs/>
          <w:color w:val="333333"/>
          <w:szCs w:val="21"/>
        </w:rPr>
        <w:t>yfir alla þá einstaklinga eða lögaðila sem veita einhvers konar þjónustu í tengslum við sýndareignir í atvinnuskyni, en eins og áður er rakið hefur þróunin á þessum vettvangi verið hröð á undanförnum árum. Ekki þykir því lengur rétt að tilgreina allar þær tegundir þjónustu sem fella ætti undir skilgreininguna, enda kynnu slíkar tilvísanir að taka reglulegum breytingum, heldur er lagt til að við skilgreininguna verði bætt að einstaklingur eða lögaðili sem fer með öðrum hætti en tilgreint er í skilgreiningunni með umráð yfir sýndareignum í atvinnuskyni teljist einnig þjónustuveitandi sýndareigna. Eins og áður greindi yrði það eftirlitsaðili sem myndi meta það hvort viðkomandi einstaklingur eða lögaðili teldist þjónustuveitandi sýndareigna og þá í tengslum við skráningarskyldu viðkomandi samkvæmt 35. gr. laganna</w:t>
      </w:r>
      <w:r w:rsidR="00CA5280">
        <w:rPr>
          <w:rFonts w:eastAsia="Times New Roman"/>
          <w:iCs/>
          <w:color w:val="333333"/>
          <w:szCs w:val="21"/>
        </w:rPr>
        <w:t>,</w:t>
      </w:r>
    </w:p>
    <w:p w14:paraId="61A3AAAF" w14:textId="645E39B6" w:rsidR="00CA5280" w:rsidRDefault="7A09CAB5" w:rsidP="00BE6B7A">
      <w:pPr>
        <w:rPr>
          <w:color w:val="242424"/>
          <w:shd w:val="clear" w:color="auto" w:fill="FFFFFF"/>
        </w:rPr>
      </w:pPr>
      <w:r w:rsidRPr="00210764">
        <w:rPr>
          <w:color w:val="242424"/>
          <w:shd w:val="clear" w:color="auto" w:fill="FFFFFF"/>
        </w:rPr>
        <w:t xml:space="preserve">Í </w:t>
      </w:r>
      <w:r>
        <w:rPr>
          <w:color w:val="242424"/>
          <w:shd w:val="clear" w:color="auto" w:fill="FFFFFF"/>
        </w:rPr>
        <w:t>2</w:t>
      </w:r>
      <w:r w:rsidR="00A00BF1">
        <w:rPr>
          <w:color w:val="242424"/>
          <w:shd w:val="clear" w:color="auto" w:fill="FFFFFF"/>
        </w:rPr>
        <w:t>6</w:t>
      </w:r>
      <w:r>
        <w:rPr>
          <w:color w:val="242424"/>
          <w:shd w:val="clear" w:color="auto" w:fill="FFFFFF"/>
        </w:rPr>
        <w:t>. tölulið er lagt til að hugtakið „</w:t>
      </w:r>
      <w:r w:rsidRPr="47A4417F">
        <w:rPr>
          <w:i/>
          <w:iCs/>
          <w:color w:val="242424"/>
          <w:shd w:val="clear" w:color="auto" w:fill="FFFFFF"/>
        </w:rPr>
        <w:t>Rafeyrir</w:t>
      </w:r>
      <w:r>
        <w:rPr>
          <w:color w:val="242424"/>
          <w:shd w:val="clear" w:color="auto" w:fill="FFFFFF"/>
        </w:rPr>
        <w:t>“ verði skilgreint, en af hálfu ESA voru gerðar athugasemdir við að hugtakið „</w:t>
      </w:r>
      <w:proofErr w:type="spellStart"/>
      <w:r>
        <w:rPr>
          <w:color w:val="242424"/>
          <w:shd w:val="clear" w:color="auto" w:fill="FFFFFF"/>
        </w:rPr>
        <w:t>electronic</w:t>
      </w:r>
      <w:proofErr w:type="spellEnd"/>
      <w:r>
        <w:rPr>
          <w:color w:val="242424"/>
          <w:shd w:val="clear" w:color="auto" w:fill="FFFFFF"/>
        </w:rPr>
        <w:t xml:space="preserve"> </w:t>
      </w:r>
      <w:proofErr w:type="spellStart"/>
      <w:r>
        <w:rPr>
          <w:color w:val="242424"/>
          <w:shd w:val="clear" w:color="auto" w:fill="FFFFFF"/>
        </w:rPr>
        <w:t>money</w:t>
      </w:r>
      <w:proofErr w:type="spellEnd"/>
      <w:r>
        <w:rPr>
          <w:color w:val="242424"/>
          <w:shd w:val="clear" w:color="auto" w:fill="FFFFFF"/>
        </w:rPr>
        <w:t xml:space="preserve">, eins og það er skilgreint í 3. gr. fjórðu peningaþvættistilskipunarinnar </w:t>
      </w:r>
      <w:r w:rsidRPr="001A0742">
        <w:rPr>
          <w:color w:val="242424"/>
          <w:shd w:val="clear" w:color="auto" w:fill="FFFFFF"/>
        </w:rPr>
        <w:t>(2015/849/EB)</w:t>
      </w:r>
      <w:r>
        <w:rPr>
          <w:color w:val="242424"/>
          <w:shd w:val="clear" w:color="auto" w:fill="FFFFFF"/>
        </w:rPr>
        <w:t>, væri ekki sérstaklega skilgreint sem hugtak í lögum nr. 140/2018</w:t>
      </w:r>
      <w:r w:rsidR="002A665E">
        <w:rPr>
          <w:color w:val="242424"/>
          <w:shd w:val="clear" w:color="auto" w:fill="FFFFFF"/>
        </w:rPr>
        <w:t xml:space="preserve">, sbr. einnig </w:t>
      </w:r>
      <w:r w:rsidR="00F0244A">
        <w:rPr>
          <w:color w:val="242424"/>
          <w:shd w:val="clear" w:color="auto" w:fill="FFFFFF"/>
        </w:rPr>
        <w:t xml:space="preserve">þær </w:t>
      </w:r>
      <w:r w:rsidR="002A665E">
        <w:rPr>
          <w:color w:val="242424"/>
          <w:shd w:val="clear" w:color="auto" w:fill="FFFFFF"/>
        </w:rPr>
        <w:t xml:space="preserve">breytingar </w:t>
      </w:r>
      <w:r w:rsidR="00F0244A">
        <w:rPr>
          <w:color w:val="242424"/>
          <w:shd w:val="clear" w:color="auto" w:fill="FFFFFF"/>
        </w:rPr>
        <w:t xml:space="preserve">sem gerðar voru </w:t>
      </w:r>
      <w:r w:rsidR="002A665E">
        <w:rPr>
          <w:color w:val="242424"/>
          <w:shd w:val="clear" w:color="auto" w:fill="FFFFFF"/>
        </w:rPr>
        <w:t xml:space="preserve">á skilgreiningu hugtaksins </w:t>
      </w:r>
      <w:r w:rsidR="00F0244A">
        <w:rPr>
          <w:color w:val="242424"/>
          <w:shd w:val="clear" w:color="auto" w:fill="FFFFFF"/>
        </w:rPr>
        <w:t xml:space="preserve">með </w:t>
      </w:r>
      <w:r w:rsidR="002A665E">
        <w:rPr>
          <w:color w:val="242424"/>
          <w:shd w:val="clear" w:color="auto" w:fill="FFFFFF"/>
        </w:rPr>
        <w:t>fimmtu peningaþvættistilskipuninni (</w:t>
      </w:r>
      <w:r w:rsidR="002A665E" w:rsidRPr="00071298">
        <w:rPr>
          <w:color w:val="242424"/>
          <w:shd w:val="clear" w:color="auto" w:fill="FFFFFF"/>
        </w:rPr>
        <w:t>2018/843/EB</w:t>
      </w:r>
      <w:r w:rsidR="002A665E">
        <w:rPr>
          <w:color w:val="242424"/>
          <w:shd w:val="clear" w:color="auto" w:fill="FFFFFF"/>
        </w:rPr>
        <w:t>)</w:t>
      </w:r>
      <w:r>
        <w:rPr>
          <w:color w:val="242424"/>
          <w:shd w:val="clear" w:color="auto" w:fill="FFFFFF"/>
        </w:rPr>
        <w:t>. Er því lagt til að hugtakið verði skilgreint með vísan til laga um útgáfu og meðferð rafeyris</w:t>
      </w:r>
      <w:r w:rsidR="002A665E">
        <w:rPr>
          <w:color w:val="242424"/>
          <w:shd w:val="clear" w:color="auto" w:fill="FFFFFF"/>
        </w:rPr>
        <w:t>.</w:t>
      </w:r>
    </w:p>
    <w:p w14:paraId="5ED7E2AD" w14:textId="7FFB9564" w:rsidR="00CA5280" w:rsidRDefault="00CA5280" w:rsidP="00CA5280">
      <w:pPr>
        <w:rPr>
          <w:color w:val="242424"/>
          <w:shd w:val="clear" w:color="auto" w:fill="FFFFFF"/>
        </w:rPr>
      </w:pPr>
      <w:r>
        <w:rPr>
          <w:color w:val="242424"/>
          <w:shd w:val="clear" w:color="auto" w:fill="FFFFFF"/>
        </w:rPr>
        <w:t>Tilvísun 2</w:t>
      </w:r>
      <w:r w:rsidR="00A00BF1">
        <w:rPr>
          <w:color w:val="242424"/>
          <w:shd w:val="clear" w:color="auto" w:fill="FFFFFF"/>
        </w:rPr>
        <w:t>6</w:t>
      </w:r>
      <w:r>
        <w:rPr>
          <w:color w:val="242424"/>
          <w:shd w:val="clear" w:color="auto" w:fill="FFFFFF"/>
        </w:rPr>
        <w:t xml:space="preserve">. töluliðar frumvarpsins til „laga um útgáfu og meðferð rafeyris“ felur í sér að ekki er aðeins vísað til skilgreiningar hugtaksins sjálfs í 5. tölulið gildandi laga um meðferð og útgáfu rafeyris nr. 17/2013, heldur einnig til 2. gr. laganna þar sem neikvætt gildissvið þeirra er afmarkað. Í samræmi við það telst </w:t>
      </w:r>
      <w:proofErr w:type="spellStart"/>
      <w:r>
        <w:rPr>
          <w:color w:val="242424"/>
          <w:shd w:val="clear" w:color="auto" w:fill="FFFFFF"/>
        </w:rPr>
        <w:t>rafeyrir</w:t>
      </w:r>
      <w:proofErr w:type="spellEnd"/>
      <w:r>
        <w:rPr>
          <w:color w:val="242424"/>
          <w:shd w:val="clear" w:color="auto" w:fill="FFFFFF"/>
        </w:rPr>
        <w:t xml:space="preserve"> í skilningi 2</w:t>
      </w:r>
      <w:r w:rsidR="00A00BF1">
        <w:rPr>
          <w:color w:val="242424"/>
          <w:shd w:val="clear" w:color="auto" w:fill="FFFFFF"/>
        </w:rPr>
        <w:t>6</w:t>
      </w:r>
      <w:r>
        <w:rPr>
          <w:color w:val="242424"/>
          <w:shd w:val="clear" w:color="auto" w:fill="FFFFFF"/>
        </w:rPr>
        <w:t>. töluliðar frumvarpsins vera p</w:t>
      </w:r>
      <w:r w:rsidRPr="00BE7E01">
        <w:rPr>
          <w:color w:val="242424"/>
          <w:shd w:val="clear" w:color="auto" w:fill="FFFFFF"/>
        </w:rPr>
        <w:t>eningaleg verðmæti, í formi kröfu á útgefanda sem er geymd í rafrænum miðli, þ.m.t. á segulformi, gefin út í skiptum fyrir fjármuni, í þeim tilgangi að framkvæma greiðslu í skilningi laga um greiðsluþjónustu og samþykkt er sem slík af öðrum aðilum en útgefandanum sjálfum</w:t>
      </w:r>
      <w:r>
        <w:rPr>
          <w:color w:val="242424"/>
          <w:shd w:val="clear" w:color="auto" w:fill="FFFFFF"/>
        </w:rPr>
        <w:t xml:space="preserve">, að </w:t>
      </w:r>
      <w:r w:rsidRPr="00702C3E">
        <w:rPr>
          <w:b/>
          <w:bCs/>
          <w:color w:val="242424"/>
          <w:shd w:val="clear" w:color="auto" w:fill="FFFFFF"/>
        </w:rPr>
        <w:t>undanskildum</w:t>
      </w:r>
      <w:r>
        <w:rPr>
          <w:color w:val="242424"/>
          <w:shd w:val="clear" w:color="auto" w:fill="FFFFFF"/>
        </w:rPr>
        <w:t xml:space="preserve"> peningalegum verðmætum s</w:t>
      </w:r>
      <w:r w:rsidRPr="00BE7E01">
        <w:rPr>
          <w:color w:val="242424"/>
          <w:shd w:val="clear" w:color="auto" w:fill="FFFFFF"/>
        </w:rPr>
        <w:t>em geymd eru á miðlum sem aðeins er unnt að nota til kaupa á vörum og þjónustu á athafnasvæði útgefanda eða samkvæmt viðskiptasamningi við útgefanda, annaðhvort innan afmarkaðs þjónustukerfis þjónustuveitenda eða fyrir takmarkað svið vara og þjónustu, eða</w:t>
      </w:r>
      <w:r>
        <w:rPr>
          <w:color w:val="242424"/>
          <w:shd w:val="clear" w:color="auto" w:fill="FFFFFF"/>
        </w:rPr>
        <w:t xml:space="preserve"> </w:t>
      </w:r>
      <w:r w:rsidRPr="00BE7E01">
        <w:rPr>
          <w:color w:val="242424"/>
          <w:shd w:val="clear" w:color="auto" w:fill="FFFFFF"/>
        </w:rPr>
        <w:t xml:space="preserve">sem notuð eru til greiðslna sem framkvæmdar eru með </w:t>
      </w:r>
      <w:proofErr w:type="spellStart"/>
      <w:r w:rsidRPr="00BE7E01">
        <w:rPr>
          <w:color w:val="242424"/>
          <w:shd w:val="clear" w:color="auto" w:fill="FFFFFF"/>
        </w:rPr>
        <w:t>tilstyrk</w:t>
      </w:r>
      <w:proofErr w:type="spellEnd"/>
      <w:r w:rsidRPr="00BE7E01">
        <w:rPr>
          <w:color w:val="242424"/>
          <w:shd w:val="clear" w:color="auto" w:fill="FFFFFF"/>
        </w:rPr>
        <w:t xml:space="preserve"> hvers kyns fjarskiptabúnaðar, stafræns búnaðar eða upplýsingatæknibúnaðar þegar keyptar vörur eða þjónusta er afhent til og skal notuð í slíkum </w:t>
      </w:r>
      <w:r w:rsidRPr="00BE7E01">
        <w:rPr>
          <w:color w:val="242424"/>
          <w:shd w:val="clear" w:color="auto" w:fill="FFFFFF"/>
        </w:rPr>
        <w:lastRenderedPageBreak/>
        <w:t>búnaði, að því tilskildu að rekstraraðili búnaðarins starfi ekki einvörðungu sem milliliður milli notanda greiðsluþjónustu og afhendingaraðila vara og þjónustu.</w:t>
      </w:r>
    </w:p>
    <w:p w14:paraId="1B1FDE4B" w14:textId="76D05227" w:rsidR="00CA5280" w:rsidRDefault="00CA5280" w:rsidP="00CA5280">
      <w:pPr>
        <w:rPr>
          <w:color w:val="242424"/>
          <w:shd w:val="clear" w:color="auto" w:fill="FFFFFF"/>
        </w:rPr>
      </w:pPr>
      <w:r>
        <w:rPr>
          <w:color w:val="242424"/>
          <w:shd w:val="clear" w:color="auto" w:fill="FFFFFF"/>
        </w:rPr>
        <w:t>Í 2</w:t>
      </w:r>
      <w:r w:rsidR="00A00BF1">
        <w:rPr>
          <w:color w:val="242424"/>
          <w:shd w:val="clear" w:color="auto" w:fill="FFFFFF"/>
        </w:rPr>
        <w:t>7</w:t>
      </w:r>
      <w:r>
        <w:rPr>
          <w:color w:val="242424"/>
          <w:shd w:val="clear" w:color="auto" w:fill="FFFFFF"/>
        </w:rPr>
        <w:t>. tölulið er lagt til að hugtakið „</w:t>
      </w:r>
      <w:r w:rsidRPr="00724BCE">
        <w:rPr>
          <w:i/>
          <w:iCs/>
          <w:color w:val="242424"/>
          <w:shd w:val="clear" w:color="auto" w:fill="FFFFFF"/>
        </w:rPr>
        <w:t>Samstæða</w:t>
      </w:r>
      <w:r>
        <w:rPr>
          <w:color w:val="242424"/>
          <w:shd w:val="clear" w:color="auto" w:fill="FFFFFF"/>
        </w:rPr>
        <w:t>“ verði skilgreint með vísan til skilgreiningar sama hugtaks í  lögum um ársreikninga. Með því er brugðist við þeirri athugasemd ESA að hugtakið „</w:t>
      </w:r>
      <w:proofErr w:type="spellStart"/>
      <w:r>
        <w:rPr>
          <w:color w:val="242424"/>
          <w:shd w:val="clear" w:color="auto" w:fill="FFFFFF"/>
        </w:rPr>
        <w:t>group</w:t>
      </w:r>
      <w:proofErr w:type="spellEnd"/>
      <w:r>
        <w:rPr>
          <w:color w:val="242424"/>
          <w:shd w:val="clear" w:color="auto" w:fill="FFFFFF"/>
        </w:rPr>
        <w:t xml:space="preserve">“, eins og það er skilgreint í 3. gr. fjórðu peningaþvættistilskipunarinnar </w:t>
      </w:r>
      <w:r w:rsidRPr="001A0742">
        <w:rPr>
          <w:color w:val="242424"/>
          <w:shd w:val="clear" w:color="auto" w:fill="FFFFFF"/>
        </w:rPr>
        <w:t>(2015/849/EB)</w:t>
      </w:r>
      <w:r>
        <w:rPr>
          <w:color w:val="242424"/>
          <w:shd w:val="clear" w:color="auto" w:fill="FFFFFF"/>
        </w:rPr>
        <w:t>, sé ekki skilgreint sem hugtak í lögum nr. 140/2018.</w:t>
      </w:r>
    </w:p>
    <w:p w14:paraId="27742751" w14:textId="77777777" w:rsidR="00BB0576" w:rsidRDefault="00BB0576" w:rsidP="00706C62">
      <w:pPr>
        <w:ind w:firstLine="0"/>
        <w:rPr>
          <w:i/>
          <w:iCs/>
        </w:rPr>
      </w:pPr>
    </w:p>
    <w:p w14:paraId="7221AE1D" w14:textId="4A15AF25" w:rsidR="00656C5B" w:rsidRDefault="00656C5B" w:rsidP="00656C5B">
      <w:pPr>
        <w:pStyle w:val="Greinarnmer"/>
      </w:pPr>
      <w:bookmarkStart w:id="19" w:name="_Hlk90363822"/>
      <w:r w:rsidRPr="009A1DB7">
        <w:t xml:space="preserve">Um </w:t>
      </w:r>
      <w:r>
        <w:t>3</w:t>
      </w:r>
      <w:r w:rsidRPr="009A1DB7">
        <w:t>. gr.</w:t>
      </w:r>
    </w:p>
    <w:p w14:paraId="5F6DA024" w14:textId="20BCE7EC" w:rsidR="005A7E13" w:rsidRDefault="358EC1C4" w:rsidP="005A7E13">
      <w:r>
        <w:t xml:space="preserve">Lagt er til að 5. gr. laganna um áhættumat </w:t>
      </w:r>
      <w:r w:rsidR="5FC18C31">
        <w:t xml:space="preserve">tilkynningarskyldra aðila </w:t>
      </w:r>
      <w:r>
        <w:t xml:space="preserve">verði skipt upp í </w:t>
      </w:r>
      <w:r w:rsidR="51FAF1E5">
        <w:t xml:space="preserve">tvær </w:t>
      </w:r>
      <w:r>
        <w:t>greinar, 5. gr.</w:t>
      </w:r>
      <w:r w:rsidR="51FAF1E5">
        <w:t xml:space="preserve"> og</w:t>
      </w:r>
      <w:r>
        <w:t xml:space="preserve"> 5. gr. a. Tilgangur breytinganna er fyrst og fremst </w:t>
      </w:r>
      <w:r w:rsidR="7DD9443E">
        <w:t xml:space="preserve">sá </w:t>
      </w:r>
      <w:r>
        <w:t>að útfæra</w:t>
      </w:r>
      <w:r w:rsidR="1B211F04">
        <w:t xml:space="preserve"> og skýra</w:t>
      </w:r>
      <w:r>
        <w:t xml:space="preserve"> nánar þá kröfu um gerð áhættumats samkvæmt lögunum </w:t>
      </w:r>
      <w:r w:rsidR="5FC18C31">
        <w:t xml:space="preserve">og veita tilkynningarskyldum aðilum nákvæmari leiðbeiningar. Þá er tilgangur breytinganna jafnframt sá að </w:t>
      </w:r>
      <w:r>
        <w:t xml:space="preserve">skilja að ákvæði laganna um áhættumat á starfsemi (e. </w:t>
      </w:r>
      <w:proofErr w:type="spellStart"/>
      <w:r>
        <w:t>business</w:t>
      </w:r>
      <w:proofErr w:type="spellEnd"/>
      <w:r>
        <w:t xml:space="preserve"> </w:t>
      </w:r>
      <w:proofErr w:type="spellStart"/>
      <w:r>
        <w:t>wide</w:t>
      </w:r>
      <w:proofErr w:type="spellEnd"/>
      <w:r>
        <w:t xml:space="preserve"> </w:t>
      </w:r>
      <w:proofErr w:type="spellStart"/>
      <w:r>
        <w:t>risk</w:t>
      </w:r>
      <w:proofErr w:type="spellEnd"/>
      <w:r>
        <w:t xml:space="preserve"> </w:t>
      </w:r>
      <w:proofErr w:type="spellStart"/>
      <w:r>
        <w:t>assessment</w:t>
      </w:r>
      <w:proofErr w:type="spellEnd"/>
      <w:r>
        <w:t>)</w:t>
      </w:r>
      <w:r w:rsidR="51FAF1E5">
        <w:t xml:space="preserve"> og</w:t>
      </w:r>
      <w:r>
        <w:t xml:space="preserve"> </w:t>
      </w:r>
      <w:r w:rsidR="356DDAE4">
        <w:t xml:space="preserve">á </w:t>
      </w:r>
      <w:r>
        <w:t xml:space="preserve">samningssamböndum og einstökum viðskiptum (e. </w:t>
      </w:r>
      <w:proofErr w:type="spellStart"/>
      <w:r>
        <w:t>individual</w:t>
      </w:r>
      <w:proofErr w:type="spellEnd"/>
      <w:r>
        <w:t xml:space="preserve"> </w:t>
      </w:r>
      <w:proofErr w:type="spellStart"/>
      <w:r>
        <w:t>risk</w:t>
      </w:r>
      <w:proofErr w:type="spellEnd"/>
      <w:r>
        <w:t xml:space="preserve"> </w:t>
      </w:r>
      <w:proofErr w:type="spellStart"/>
      <w:r>
        <w:t>assessment</w:t>
      </w:r>
      <w:proofErr w:type="spellEnd"/>
      <w:r>
        <w:t>)</w:t>
      </w:r>
      <w:r w:rsidR="51FAF1E5">
        <w:t xml:space="preserve"> annars vegar</w:t>
      </w:r>
      <w:r>
        <w:t xml:space="preserve"> og </w:t>
      </w:r>
      <w:r w:rsidR="5FC18C31">
        <w:t xml:space="preserve">ákvæði laganna um </w:t>
      </w:r>
      <w:r>
        <w:t>stefnu, stýringar og verkferla</w:t>
      </w:r>
      <w:r w:rsidR="51FAF1E5">
        <w:t xml:space="preserve"> hins vegar</w:t>
      </w:r>
      <w:r>
        <w:t xml:space="preserve">. </w:t>
      </w:r>
    </w:p>
    <w:p w14:paraId="06F61391" w14:textId="17418604" w:rsidR="00A96FBF" w:rsidRDefault="00963A76" w:rsidP="006B013F">
      <w:r>
        <w:t>Í inngangsorðum ákvæðisins kemur fram að tilkynningarskyldir aðilar skuli gera áhættumat á starfsemi sinni, samningssamböndum og einstökum viðskiptum í samræmi við ákvæðið.</w:t>
      </w:r>
      <w:r w:rsidR="00A96FBF">
        <w:t xml:space="preserve"> </w:t>
      </w:r>
      <w:r w:rsidR="00806695">
        <w:t>Þannig er annars vegar um að ræða áhættumat sem tilkynningarskyldur aðili gerir á starfsemi sinni, sem felst í því að bera kennsl á og meta hættu á peningaþvætti og fjármögnun hryðjuverka í starfsemi tilkynningarskylds aðila, út frá helstu veikle</w:t>
      </w:r>
      <w:r w:rsidR="002104EF">
        <w:t>i</w:t>
      </w:r>
      <w:r w:rsidR="00806695">
        <w:t xml:space="preserve">kum og ógnum sem að starfseminni </w:t>
      </w:r>
      <w:r w:rsidR="00CB31DC">
        <w:t xml:space="preserve">beinist og hins vegar um að ræða áhættumat sem tilkynningarskyldur aðili gerir </w:t>
      </w:r>
      <w:r w:rsidR="00A96FBF">
        <w:t xml:space="preserve">á samningssamböndum og einstökum viðskiptum og byggir á áhættumati tilkynningarskylds aðila á starfsemi sinni. </w:t>
      </w:r>
      <w:r w:rsidR="00CB31DC">
        <w:t xml:space="preserve"> </w:t>
      </w:r>
      <w:r w:rsidR="00806695">
        <w:t xml:space="preserve">   </w:t>
      </w:r>
    </w:p>
    <w:p w14:paraId="47BF09FE" w14:textId="77777777" w:rsidR="006B013F" w:rsidRDefault="006B013F" w:rsidP="006B013F">
      <w:pPr>
        <w:rPr>
          <w:b/>
          <w:bCs/>
        </w:rPr>
      </w:pPr>
    </w:p>
    <w:p w14:paraId="3B080C91" w14:textId="6078699E" w:rsidR="00A96FBF" w:rsidRPr="006B013F" w:rsidRDefault="00A96FBF" w:rsidP="00A96FBF">
      <w:pPr>
        <w:ind w:firstLine="0"/>
        <w:rPr>
          <w:i/>
          <w:iCs/>
        </w:rPr>
      </w:pPr>
      <w:r w:rsidRPr="006B013F">
        <w:rPr>
          <w:i/>
          <w:iCs/>
        </w:rPr>
        <w:t>Um 5. gr. A. Áhættumat á starfsemi:</w:t>
      </w:r>
    </w:p>
    <w:p w14:paraId="73CCC994" w14:textId="7E1E514B" w:rsidR="0015398C" w:rsidRDefault="001F17BE" w:rsidP="001F17BE">
      <w:pPr>
        <w:ind w:firstLine="0"/>
      </w:pPr>
      <w:r>
        <w:tab/>
      </w:r>
      <w:r w:rsidR="7DD9443E">
        <w:t>Í 1. mgr. 5. gr. núgildandi laga kemur fram að tilkynningarskyldir aðilar skuli gera áhættumat á rekstri sínum og viðskiptum</w:t>
      </w:r>
      <w:r w:rsidR="009B60B6">
        <w:t>, en bent hefur verið á að skýra mætti nánar hvað átt er við með rekstri og viðskiptum í þessu sambandi</w:t>
      </w:r>
      <w:r w:rsidR="1B211F04">
        <w:t xml:space="preserve">. Með þessu frumvarpi er gerð breyting á orðalaginu til þess að taka af vafa um það að áhættumat </w:t>
      </w:r>
      <w:r w:rsidR="5FC18C31">
        <w:t xml:space="preserve">á starfsemi </w:t>
      </w:r>
      <w:r w:rsidR="1B211F04">
        <w:t xml:space="preserve">skuli taka til starfsemi tilkynningarskyldra aðila í heild sinni en á hvorki að vera bundið við tiltekin viðskipti eða taka mið af rekstraráhættuþáttum.  </w:t>
      </w:r>
    </w:p>
    <w:p w14:paraId="0BA55E79" w14:textId="1AF9D92C" w:rsidR="005A7E13" w:rsidRDefault="358EC1C4" w:rsidP="005A7E13">
      <w:r>
        <w:t xml:space="preserve">Samkvæmt 1. mgr. ákvæðisins er lagt til að í áhættumatinu skuli felast að bera kennsl á og leggja mat á áhættuþætti </w:t>
      </w:r>
      <w:r w:rsidR="64E98EC4">
        <w:t>til að fá</w:t>
      </w:r>
      <w:r>
        <w:t xml:space="preserve"> heildstæða mynd af </w:t>
      </w:r>
      <w:r w:rsidR="0F952495">
        <w:t xml:space="preserve">þeirri áhættu </w:t>
      </w:r>
      <w:r>
        <w:t xml:space="preserve">sem tilkynningarskyldur aðili stendur frammi fyrir í sinni starfsemi. Áhættumat á starfsemi skal aðlagað að viðskiptalíkani hvers tilkynningarskylds aðila og taka mið af öllum viðeigandi áhættuþáttum. </w:t>
      </w:r>
    </w:p>
    <w:p w14:paraId="6225EFD1" w14:textId="77777777" w:rsidR="005A7E13" w:rsidRDefault="005A7E13" w:rsidP="005A7E13">
      <w:pPr>
        <w:rPr>
          <w:rFonts w:cstheme="minorHAnsi"/>
        </w:rPr>
      </w:pPr>
      <w:r>
        <w:t xml:space="preserve">  </w:t>
      </w:r>
      <w:r>
        <w:rPr>
          <w:rFonts w:cstheme="minorHAnsi"/>
        </w:rPr>
        <w:t xml:space="preserve">Áhættumati samkvæmt 1. mgr. er ætlað að endurspegla hættu á peningaþvætti og fjármögnun hryðjuverka í starfsemi tilkynningarskylds aðila og er tilgangur þess að aðstoða tilkynningarskylda aðila við að greina hvar á að forgangsraða í baráttunni gegn peningaþvætti og fjármögnun hryðjuverka. Samkvæmt ákvæðinu skal tilkynningarskyldur aðili leggja sjálfstætt mat á þá hættu sem hann stendur frammi fyrir sem tekur m.a. mið af áhættuþáttum sem tengjast viðskiptamönnum, viðskiptalöndum eða svæðum, vörum, þjónustu, viðskiptum, tækni og dreifileiðum. </w:t>
      </w:r>
    </w:p>
    <w:p w14:paraId="646E170A" w14:textId="7E0D3D4E" w:rsidR="005A7E13" w:rsidRDefault="358EC1C4" w:rsidP="47A4417F">
      <w:pPr>
        <w:rPr>
          <w:rFonts w:cstheme="minorBidi"/>
        </w:rPr>
      </w:pPr>
      <w:r w:rsidRPr="47A4417F">
        <w:rPr>
          <w:rFonts w:cstheme="minorBidi"/>
        </w:rPr>
        <w:t xml:space="preserve">Ákvæði 2. mgr. frumvarpsins er efnislega sambærilegt núgildandi 3. og 4. </w:t>
      </w:r>
      <w:proofErr w:type="spellStart"/>
      <w:r w:rsidRPr="47A4417F">
        <w:rPr>
          <w:rFonts w:cstheme="minorBidi"/>
        </w:rPr>
        <w:t>málsl</w:t>
      </w:r>
      <w:proofErr w:type="spellEnd"/>
      <w:r w:rsidRPr="47A4417F">
        <w:rPr>
          <w:rFonts w:cstheme="minorBidi"/>
        </w:rPr>
        <w:t xml:space="preserve">. 1. mgr. 5. gr. laganna. </w:t>
      </w:r>
      <w:r>
        <w:rPr>
          <w:color w:val="242424"/>
          <w:shd w:val="clear" w:color="auto" w:fill="FFFFFF"/>
        </w:rPr>
        <w:t xml:space="preserve">Tilkynningarskyldir aðilar stunda ólíka starfsemi og umfang </w:t>
      </w:r>
      <w:r w:rsidR="0F952495">
        <w:rPr>
          <w:color w:val="242424"/>
          <w:shd w:val="clear" w:color="auto" w:fill="FFFFFF"/>
        </w:rPr>
        <w:t xml:space="preserve">starfseminnar </w:t>
      </w:r>
      <w:r>
        <w:rPr>
          <w:color w:val="242424"/>
          <w:shd w:val="clear" w:color="auto" w:fill="FFFFFF"/>
        </w:rPr>
        <w:t xml:space="preserve">er mismunandi. Af þessum ástæðum er kveðið á um að matið skuli taka mið af stærð, eðli og umfangi þeirrar starfsemi sem verið er að meta. Í þessu felst m.a. að áhættumat þeirra sem bjóða einsleita þjónustu eða vörur, eins og t.d. fasteignasalar gera, er einfaldara en áhættumat </w:t>
      </w:r>
      <w:r>
        <w:rPr>
          <w:color w:val="242424"/>
          <w:shd w:val="clear" w:color="auto" w:fill="FFFFFF"/>
        </w:rPr>
        <w:lastRenderedPageBreak/>
        <w:t>fjármálafyrirtækja sem bjóða upp á fjölbreyt</w:t>
      </w:r>
      <w:r w:rsidR="5CCCA9F0">
        <w:rPr>
          <w:color w:val="242424"/>
          <w:shd w:val="clear" w:color="auto" w:fill="FFFFFF"/>
        </w:rPr>
        <w:t>ta</w:t>
      </w:r>
      <w:r>
        <w:rPr>
          <w:color w:val="242424"/>
          <w:shd w:val="clear" w:color="auto" w:fill="FFFFFF"/>
        </w:rPr>
        <w:t xml:space="preserve"> þjónustu og vörur. Þetta dregur úr hættu á því að kröfur frumvarpsins séu of íþyngjandi gagnvart minni aðilum. </w:t>
      </w:r>
    </w:p>
    <w:p w14:paraId="6E76CCF9" w14:textId="3C4CED56" w:rsidR="005A7E13" w:rsidRDefault="005A7E13" w:rsidP="005A7E13">
      <w:pPr>
        <w:rPr>
          <w:rFonts w:cstheme="minorHAnsi"/>
        </w:rPr>
      </w:pPr>
      <w:r>
        <w:t xml:space="preserve">Samkvæmt 3. mgr. ákvæðisins er lagt til að </w:t>
      </w:r>
      <w:r>
        <w:rPr>
          <w:rFonts w:cstheme="minorHAnsi"/>
        </w:rPr>
        <w:t xml:space="preserve">áhættumat skuli framkvæmt samkvæmt fyrir fram mótaðri skjalfestri aðferðafræði. </w:t>
      </w:r>
      <w:r>
        <w:t>Aðferðarfræði</w:t>
      </w:r>
      <w:r w:rsidR="00060654">
        <w:t>n</w:t>
      </w:r>
      <w:r>
        <w:t xml:space="preserve"> skal vera skýr og rökstudd. </w:t>
      </w:r>
      <w:r>
        <w:rPr>
          <w:rFonts w:cstheme="minorHAnsi"/>
        </w:rPr>
        <w:t xml:space="preserve">Þannig skal matið, eins og unnt er, byggja á öllum viðeigandi hlutlægum upplýsingum og gögnum frá stjórnvöldum, t.d. eftirlitsaðilum og réttarvörsluaðilum, markaðsaðilum og eftir atvikum erlendum ríkjum og stofnunum. Aðferðarfræðin skal vera sjálfstæð og mótuð áður en áhættumatið sjálft fer fram, en ekki vera samofin áhættumatinu sjálfu. </w:t>
      </w:r>
      <w:r w:rsidR="00060654">
        <w:rPr>
          <w:rFonts w:cstheme="minorHAnsi"/>
        </w:rPr>
        <w:t xml:space="preserve">Þá skal fara fram reglulegt mat á aðferðafræði og hún uppfærð ef tilefni er til. </w:t>
      </w:r>
      <w:r>
        <w:rPr>
          <w:rFonts w:cstheme="minorHAnsi"/>
        </w:rPr>
        <w:t xml:space="preserve">Í aðferðafræðinni skal koma fram með skýrum hætti </w:t>
      </w:r>
      <w:r>
        <w:rPr>
          <w:szCs w:val="21"/>
        </w:rPr>
        <w:t xml:space="preserve">hvernig matið fer fram, m.a. hvernig bera skal kennsl á áhættuþætti, hvaðan og með hvaða hætti gagna er aflað, hvernig áhættuflokkun áhættuþátta fer fram og hvaða viðmið eru notuð við áhættuflokkun. </w:t>
      </w:r>
    </w:p>
    <w:p w14:paraId="5EA24D56" w14:textId="5CF5CEBF" w:rsidR="005A7E13" w:rsidRDefault="005A7E13" w:rsidP="005A7E13">
      <w:pPr>
        <w:ind w:firstLine="0"/>
      </w:pPr>
      <w:r>
        <w:rPr>
          <w:rFonts w:cstheme="minorHAnsi"/>
        </w:rPr>
        <w:tab/>
      </w:r>
      <w:r w:rsidR="358EC1C4">
        <w:t xml:space="preserve">Þá er 4. mgr. ætlað að skýra betur hvað skuli fjallað um í áhættumati. Í a-lið 4. mgr. er kveðið á um </w:t>
      </w:r>
      <w:r w:rsidR="796F8916">
        <w:t xml:space="preserve">mat á </w:t>
      </w:r>
      <w:r w:rsidR="358EC1C4">
        <w:t>eðlislæg</w:t>
      </w:r>
      <w:r w:rsidR="18688747">
        <w:t>ri</w:t>
      </w:r>
      <w:r w:rsidR="358EC1C4">
        <w:t xml:space="preserve"> áhættu, áhættuflokkun einstakra áhættuþátta og forsendur þeirrar niðurstöðu. Til skýringar á hugtökunum eðlislæg áhætta og áhættuþættir vísast til skilgreininga í 21. og 22. </w:t>
      </w:r>
      <w:proofErr w:type="spellStart"/>
      <w:r w:rsidR="358EC1C4">
        <w:t>tölul</w:t>
      </w:r>
      <w:proofErr w:type="spellEnd"/>
      <w:r w:rsidR="358EC1C4">
        <w:t xml:space="preserve">. 1. mgr. 3. gr. laganna.  Í </w:t>
      </w:r>
      <w:proofErr w:type="spellStart"/>
      <w:r w:rsidR="358EC1C4">
        <w:t>b-lið</w:t>
      </w:r>
      <w:proofErr w:type="spellEnd"/>
      <w:r w:rsidR="358EC1C4">
        <w:t xml:space="preserve"> 4. mgr. segir að fjallað skuli um </w:t>
      </w:r>
      <w:r w:rsidR="358EC1C4" w:rsidRPr="47A4417F">
        <w:t xml:space="preserve">gæði stýringa og annarra aðferða til að draga úr áhættu. Með því er átt við að tilkynningarskyldir aðilar skulu sjálfir leggja mat á gæði umræddra stýringa og aðferða (e. </w:t>
      </w:r>
      <w:proofErr w:type="spellStart"/>
      <w:r w:rsidR="358EC1C4" w:rsidRPr="47A4417F">
        <w:t>quality</w:t>
      </w:r>
      <w:proofErr w:type="spellEnd"/>
      <w:r w:rsidR="358EC1C4" w:rsidRPr="47A4417F">
        <w:t xml:space="preserve"> of controls). Framangreind breyting byggir á lið 1.3. í viðmiðunarreglum evrópsku bankaeftirlitsstofnunarinnar </w:t>
      </w:r>
      <w:r w:rsidR="358EC1C4">
        <w:t>EBA/GL/2021/02.  Breytingin byggi</w:t>
      </w:r>
      <w:r w:rsidR="0F952495">
        <w:t>r</w:t>
      </w:r>
      <w:r w:rsidR="358EC1C4">
        <w:t xml:space="preserve"> einnig að einhverju leyti á efnisákvæði reglugerðar nr. 545/2019 um áhættumat að því er varðar áhættumat á starfsemi. </w:t>
      </w:r>
      <w:r w:rsidR="358EC1C4" w:rsidRPr="47A4417F">
        <w:t xml:space="preserve">Með stýringum og öðrum aðferðum til að draga úr áhættu er átt við allar aðgerðir sem ætlað er að draga úr áhættu, sama hvaða nöfnum slíkar aðgerðar eru nefndar. Sem dæmi má nefna reglubundið eftirlit, kerfi til  að fylgjast með og greina óvenjulegar færslur, innri verkferla og reglur, kerfi til að meta hvort stjórnmálaleg tengsl séu til staðar og ýmis konar takmarkanir tengdar vörum, viðskiptamönnum og þjónustu. </w:t>
      </w:r>
    </w:p>
    <w:p w14:paraId="14844781" w14:textId="1EA4996E" w:rsidR="00C13A75" w:rsidRDefault="358EC1C4" w:rsidP="005A7E13">
      <w:pPr>
        <w:rPr>
          <w:color w:val="242424"/>
          <w:shd w:val="clear" w:color="auto" w:fill="FFFFFF"/>
        </w:rPr>
      </w:pPr>
      <w:r>
        <w:t xml:space="preserve"> Í </w:t>
      </w:r>
      <w:proofErr w:type="spellStart"/>
      <w:r>
        <w:t>c-lið</w:t>
      </w:r>
      <w:proofErr w:type="spellEnd"/>
      <w:r>
        <w:t xml:space="preserve"> 4. mgr. segir að fjallað skuli um</w:t>
      </w:r>
      <w:r w:rsidR="71B5D0AB">
        <w:t xml:space="preserve"> </w:t>
      </w:r>
      <w:proofErr w:type="spellStart"/>
      <w:r w:rsidR="71B5D0AB">
        <w:t>eftirstæða</w:t>
      </w:r>
      <w:proofErr w:type="spellEnd"/>
      <w:r w:rsidR="71B5D0AB">
        <w:t xml:space="preserve"> áhættu og</w:t>
      </w:r>
      <w:r>
        <w:t xml:space="preserve"> áhættuflokkun einstakra áhættuþátta eftir að stýringum og aðferðum til að draga úr áhættu hefur verið beitt. Líta má á a-lið sem upphaf þar sem gerð skal grein fyrir þeirri áhættu sem er til staðar í starfseminni áður en stýringum hefur verið beitt, </w:t>
      </w:r>
      <w:proofErr w:type="spellStart"/>
      <w:r>
        <w:t>b-lið</w:t>
      </w:r>
      <w:proofErr w:type="spellEnd"/>
      <w:r>
        <w:t xml:space="preserve"> sem lýsingu á hvernig brugðist skuli við greindri áhættu samkvæmt a-lið og að lokum </w:t>
      </w:r>
      <w:proofErr w:type="spellStart"/>
      <w:r>
        <w:t>c-lið</w:t>
      </w:r>
      <w:proofErr w:type="spellEnd"/>
      <w:r>
        <w:t xml:space="preserve"> sem greiningu á þeirri áhættu sem ekki er hægt að útiloka þrátt fyrir beitingu stýringa. Mikilvægt er að greining eðlislægrar áhættu, mat á stýringum og niðurstaða um </w:t>
      </w:r>
      <w:proofErr w:type="spellStart"/>
      <w:r>
        <w:t>eftirstæða</w:t>
      </w:r>
      <w:proofErr w:type="spellEnd"/>
      <w:r>
        <w:t xml:space="preserve"> áhættu sé skýr</w:t>
      </w:r>
      <w:r w:rsidR="0B923CB9">
        <w:t xml:space="preserve"> varðandi hvern áhættuþátt</w:t>
      </w:r>
      <w:r>
        <w:t xml:space="preserve">, þannig að ljóst sé að rökstutt mat hafi verið lagt á hvernig stýringar dragi úr eðlislægri áhættu hvers áhættuþáttar og hver </w:t>
      </w:r>
      <w:r w:rsidR="781C670F">
        <w:t xml:space="preserve">niðurstaðan um </w:t>
      </w:r>
      <w:proofErr w:type="spellStart"/>
      <w:r>
        <w:t>eftirstæð</w:t>
      </w:r>
      <w:r w:rsidR="7E82FD73">
        <w:t>a</w:t>
      </w:r>
      <w:proofErr w:type="spellEnd"/>
      <w:r>
        <w:t xml:space="preserve"> áhætta </w:t>
      </w:r>
      <w:proofErr w:type="spellStart"/>
      <w:r>
        <w:t>er.</w:t>
      </w:r>
      <w:r>
        <w:rPr>
          <w:color w:val="242424"/>
          <w:shd w:val="clear" w:color="auto" w:fill="FFFFFF"/>
        </w:rPr>
        <w:t>Þá</w:t>
      </w:r>
      <w:proofErr w:type="spellEnd"/>
      <w:r>
        <w:rPr>
          <w:color w:val="242424"/>
          <w:shd w:val="clear" w:color="auto" w:fill="FFFFFF"/>
        </w:rPr>
        <w:t xml:space="preserve"> er í 5. mgr. kveðið á um að áhættumat skuli uppfær</w:t>
      </w:r>
      <w:r w:rsidR="05DD0AC4">
        <w:rPr>
          <w:color w:val="242424"/>
          <w:shd w:val="clear" w:color="auto" w:fill="FFFFFF"/>
        </w:rPr>
        <w:t>t</w:t>
      </w:r>
      <w:r>
        <w:rPr>
          <w:color w:val="242424"/>
          <w:shd w:val="clear" w:color="auto" w:fill="FFFFFF"/>
        </w:rPr>
        <w:t xml:space="preserve"> við tvenns konar aðstæður</w:t>
      </w:r>
      <w:r w:rsidR="7D03B1AA">
        <w:rPr>
          <w:color w:val="242424"/>
          <w:shd w:val="clear" w:color="auto" w:fill="FFFFFF"/>
        </w:rPr>
        <w:t xml:space="preserve">, en ákvæðið er efnislega óbreytt frá núgildandi lögum. </w:t>
      </w:r>
    </w:p>
    <w:p w14:paraId="598FA585" w14:textId="6FAFA67A" w:rsidR="00C13A75" w:rsidRDefault="7D03B1AA" w:rsidP="005A7E13">
      <w:pPr>
        <w:rPr>
          <w:color w:val="242424"/>
          <w:shd w:val="clear" w:color="auto" w:fill="FFFFFF"/>
        </w:rPr>
      </w:pPr>
      <w:r>
        <w:rPr>
          <w:color w:val="242424"/>
          <w:shd w:val="clear" w:color="auto" w:fill="FFFFFF"/>
        </w:rPr>
        <w:t xml:space="preserve">Í 6. mgr. ákvæðisins kemur fram að eftirlitsaðilum og öðrum </w:t>
      </w:r>
      <w:proofErr w:type="spellStart"/>
      <w:r>
        <w:rPr>
          <w:color w:val="242424"/>
          <w:shd w:val="clear" w:color="auto" w:fill="FFFFFF"/>
        </w:rPr>
        <w:t>lögbærum</w:t>
      </w:r>
      <w:proofErr w:type="spellEnd"/>
      <w:r>
        <w:rPr>
          <w:color w:val="242424"/>
          <w:shd w:val="clear" w:color="auto" w:fill="FFFFFF"/>
        </w:rPr>
        <w:t xml:space="preserve"> stjórnvöldum samkvæmt lögunum skuli afhent afrit af áhættumati sé þess óskað. Þetta ákvæði er óbreytt</w:t>
      </w:r>
      <w:r w:rsidR="7816451C">
        <w:rPr>
          <w:color w:val="242424"/>
          <w:shd w:val="clear" w:color="auto" w:fill="FFFFFF"/>
        </w:rPr>
        <w:t xml:space="preserve"> frá núgildandi lögum</w:t>
      </w:r>
      <w:r>
        <w:rPr>
          <w:color w:val="242424"/>
          <w:shd w:val="clear" w:color="auto" w:fill="FFFFFF"/>
        </w:rPr>
        <w:t xml:space="preserve">.  </w:t>
      </w:r>
    </w:p>
    <w:p w14:paraId="345E1E5B" w14:textId="06EF2B25" w:rsidR="00765996" w:rsidRDefault="005A7E13" w:rsidP="00C13A75">
      <w:pPr>
        <w:ind w:firstLine="0"/>
        <w:rPr>
          <w:color w:val="242424"/>
          <w:shd w:val="clear" w:color="auto" w:fill="FFFFFF"/>
        </w:rPr>
      </w:pPr>
      <w:r>
        <w:rPr>
          <w:color w:val="242424"/>
          <w:shd w:val="clear" w:color="auto" w:fill="FFFFFF"/>
        </w:rPr>
        <w:t xml:space="preserve">    Við tilteknar aðstæður, sbr. </w:t>
      </w:r>
      <w:r w:rsidR="00C13A75">
        <w:rPr>
          <w:color w:val="242424"/>
          <w:shd w:val="clear" w:color="auto" w:fill="FFFFFF"/>
        </w:rPr>
        <w:t>7</w:t>
      </w:r>
      <w:r>
        <w:rPr>
          <w:color w:val="242424"/>
          <w:shd w:val="clear" w:color="auto" w:fill="FFFFFF"/>
        </w:rPr>
        <w:t xml:space="preserve">. mgr. </w:t>
      </w:r>
      <w:r w:rsidR="006C13FE">
        <w:rPr>
          <w:color w:val="242424"/>
          <w:shd w:val="clear" w:color="auto" w:fill="FFFFFF"/>
        </w:rPr>
        <w:t>ákvæðisins</w:t>
      </w:r>
      <w:r>
        <w:rPr>
          <w:color w:val="242424"/>
          <w:shd w:val="clear" w:color="auto" w:fill="FFFFFF"/>
        </w:rPr>
        <w:t xml:space="preserve">, geta eftirlitsaðilar veitt tilkynningarskyldum aðilum undanþágu frá gerð áhættumats. Ákvæðið er undanþága frá meginreglu um gerð áhættumats og ber að túlka sem slíka. Slík undanþága dregur úr hættu á því að gerðar séu of íþyngjandi kröfur til tilkynningarskyldra aðila með einfalda starfsemi. </w:t>
      </w:r>
    </w:p>
    <w:p w14:paraId="57C2346B" w14:textId="2383795B" w:rsidR="006B013F" w:rsidRDefault="006B013F" w:rsidP="00C13A75">
      <w:pPr>
        <w:ind w:firstLine="0"/>
        <w:rPr>
          <w:color w:val="242424"/>
          <w:shd w:val="clear" w:color="auto" w:fill="FFFFFF"/>
        </w:rPr>
      </w:pPr>
    </w:p>
    <w:p w14:paraId="05D35FC5" w14:textId="190DB587" w:rsidR="00E16F1C" w:rsidRDefault="00E16F1C" w:rsidP="00C13A75">
      <w:pPr>
        <w:ind w:firstLine="0"/>
        <w:rPr>
          <w:color w:val="242424"/>
          <w:shd w:val="clear" w:color="auto" w:fill="FFFFFF"/>
        </w:rPr>
      </w:pPr>
    </w:p>
    <w:p w14:paraId="3DF9AEEB" w14:textId="77777777" w:rsidR="00E16F1C" w:rsidRDefault="00E16F1C" w:rsidP="00C13A75">
      <w:pPr>
        <w:ind w:firstLine="0"/>
        <w:rPr>
          <w:b/>
          <w:bCs/>
        </w:rPr>
      </w:pPr>
    </w:p>
    <w:p w14:paraId="3A5FE0E6" w14:textId="206DEE5D" w:rsidR="00C13A75" w:rsidRPr="006B013F" w:rsidRDefault="00C13A75" w:rsidP="00C13A75">
      <w:pPr>
        <w:ind w:firstLine="0"/>
        <w:rPr>
          <w:i/>
          <w:iCs/>
        </w:rPr>
      </w:pPr>
      <w:r w:rsidRPr="006B013F">
        <w:rPr>
          <w:i/>
          <w:iCs/>
        </w:rPr>
        <w:lastRenderedPageBreak/>
        <w:t xml:space="preserve">Um 5. gr. </w:t>
      </w:r>
      <w:r w:rsidR="000734D0" w:rsidRPr="006B013F">
        <w:rPr>
          <w:i/>
          <w:iCs/>
        </w:rPr>
        <w:t>B</w:t>
      </w:r>
      <w:r w:rsidRPr="006B013F">
        <w:rPr>
          <w:i/>
          <w:iCs/>
        </w:rPr>
        <w:t xml:space="preserve">. Áhættumat </w:t>
      </w:r>
      <w:r w:rsidR="000734D0" w:rsidRPr="006B013F">
        <w:rPr>
          <w:i/>
          <w:iCs/>
        </w:rPr>
        <w:t>á samningssamböndum og einstökum viðskiptum</w:t>
      </w:r>
      <w:r w:rsidRPr="006B013F">
        <w:rPr>
          <w:i/>
          <w:iCs/>
        </w:rPr>
        <w:t>:</w:t>
      </w:r>
    </w:p>
    <w:p w14:paraId="524A7718" w14:textId="798016F3" w:rsidR="005A7E13" w:rsidRDefault="358EC1C4" w:rsidP="005A7E13">
      <w:r>
        <w:t xml:space="preserve">Með 5. gr. </w:t>
      </w:r>
      <w:r w:rsidR="502F7532">
        <w:t>B</w:t>
      </w:r>
      <w:r w:rsidR="00911C3A">
        <w:t>.</w:t>
      </w:r>
      <w:r>
        <w:t xml:space="preserve"> eru m.a. tiltekin ákvæði reglugerðar nr. 545/2019 um áhættumat sem varða áhættumat samningssambanda og einstakra viðskipta færð í lögin. </w:t>
      </w:r>
    </w:p>
    <w:p w14:paraId="0DC7A492" w14:textId="64E1D240" w:rsidR="005A7E13" w:rsidRDefault="005A7E13" w:rsidP="005A7E13">
      <w:r>
        <w:t xml:space="preserve">Með frumvarpinu er ætlunin að taka af allan vafa um að áhættumat á starfsemi skuli vera grundvöllur ákvörðunar um hvernig samningssambönd og einstök viðskipti skulu vera flokkuð í áhættuflokka. Þá skal áhættumat á samningssamböndum og einstökum viðskiptum </w:t>
      </w:r>
      <w:r w:rsidR="000734D0">
        <w:t xml:space="preserve">vera </w:t>
      </w:r>
      <w:r>
        <w:t xml:space="preserve">notað til að ákveða tegund og umfang áreiðanleikakönnunar og </w:t>
      </w:r>
      <w:r w:rsidR="000734D0">
        <w:t xml:space="preserve">vera </w:t>
      </w:r>
      <w:r>
        <w:t xml:space="preserve">grundvöllur ákvörðunar um með hvaða hætti eftirlit með samningssamböndum og viðskiptum skuli framkvæmt hjá tilkynningarskyldum aðila. </w:t>
      </w:r>
    </w:p>
    <w:p w14:paraId="3F012824" w14:textId="5691E586" w:rsidR="005A7E13" w:rsidRDefault="358EC1C4" w:rsidP="47A4417F">
      <w:pPr>
        <w:rPr>
          <w:i/>
          <w:iCs/>
          <w:color w:val="242424"/>
          <w:shd w:val="clear" w:color="auto" w:fill="FFFFFF"/>
        </w:rPr>
      </w:pPr>
      <w:r>
        <w:t xml:space="preserve">Með </w:t>
      </w:r>
      <w:r w:rsidR="006C13FE">
        <w:t>8</w:t>
      </w:r>
      <w:r>
        <w:t>. mgr. 5. gr.</w:t>
      </w:r>
      <w:r w:rsidR="00CD5F85">
        <w:t xml:space="preserve"> </w:t>
      </w:r>
      <w:r>
        <w:t xml:space="preserve">í frumvarpinu er lagt til að gerð sé krafa um að tilkynningarskyldir aðilar skjalfesti þá aðferðafræði sem notuð verður við áhættumat á samningssamböndum og einstökum viðskiptum. </w:t>
      </w:r>
      <w:r w:rsidR="502F7532">
        <w:t xml:space="preserve">Þá er kveðið á um að fara skuli fram reglulegt mat á aðferðafræðinni og hún uppfærð ef tilefni er til. </w:t>
      </w:r>
      <w:r>
        <w:t xml:space="preserve">Mikilvægt er að gera greinarmun á aðferðafræði </w:t>
      </w:r>
      <w:r w:rsidR="502F7532">
        <w:t>vegna áhættumats á starfsemi</w:t>
      </w:r>
      <w:r>
        <w:t xml:space="preserve"> og aðferðafræði skv. ákvæði þessu. </w:t>
      </w:r>
    </w:p>
    <w:p w14:paraId="2A6DC246" w14:textId="65256AAC" w:rsidR="005A7E13" w:rsidRDefault="358EC1C4" w:rsidP="005A7E13">
      <w:r>
        <w:t xml:space="preserve">Tilgangur </w:t>
      </w:r>
      <w:r w:rsidR="006C13FE">
        <w:t>9</w:t>
      </w:r>
      <w:r>
        <w:t xml:space="preserve">. og </w:t>
      </w:r>
      <w:r w:rsidR="006C13FE">
        <w:t>10</w:t>
      </w:r>
      <w:r>
        <w:t xml:space="preserve">. mgr. 5. gr. er að skýra samspil áhættumats á starfsemi og áhættumats á samningssamböndum og einstökum viðskiptum og kveða skýrt á um hver tilgangur þess síðarnefnda er. Skerpt er á því að áhættumat á samningssamböndum skuli notað til þess að meta hvort beita eigi aukinni áreiðanleikakönnun eða hvort heimilt sé að beita einfaldaðri áreiðanleikakönnun. Áhættumat á samningssamböndum og einstökum viðskiptum kann einnig að leiða til þess að áreiðanleikakönnun á grundvelli 10. gr. laganna sé framkvæmd án þess að einfaldaðri eða aukinni áreiðanleikakönnun sé beitt. Þá skal áhættumat á samningssamböndum og einstökum viðskiptum einnig notað til þess að ákvarða með hvaða hætti eftirlit skuli framkvæmt.  </w:t>
      </w:r>
    </w:p>
    <w:p w14:paraId="4FC2BF0F" w14:textId="0BB8F0F1" w:rsidR="005A7E13" w:rsidRPr="006C13FE" w:rsidRDefault="358EC1C4" w:rsidP="005A7E13">
      <w:r w:rsidRPr="006C13FE">
        <w:t xml:space="preserve">Í </w:t>
      </w:r>
      <w:r w:rsidR="00CD5F85" w:rsidRPr="006C13FE">
        <w:t>1</w:t>
      </w:r>
      <w:r w:rsidR="006C13FE" w:rsidRPr="006C13FE">
        <w:t>1</w:t>
      </w:r>
      <w:r w:rsidRPr="006C13FE">
        <w:t xml:space="preserve">. mgr. 5. gr. frumvarpsins er lagt til að skýrt sé kveðið á um að horfa skuli til allra viðeigandi áhættuþátta sem geta einir sér eða samanlagt, aukið eða dregið úr áhættu vegna peningaþvættis eða fjármögnunar hryðjuverka þegar lagt er mat á hvernig samningssambönd og einstök viðskipti skulu áhættuflokkuð. Mikilvægt er að árétta að í ákvæðinu eru talin upp þau atriði sem að lágmarki skuli líta til en það er tilkynningarskyldra aðila að meta hvort að líta skuli til fleiri þátta og þá hverra. </w:t>
      </w:r>
    </w:p>
    <w:p w14:paraId="4DC61AF5" w14:textId="12C3E2ED" w:rsidR="002104EF" w:rsidRDefault="006C13FE" w:rsidP="002104EF">
      <w:r w:rsidRPr="006C13FE">
        <w:t>Með</w:t>
      </w:r>
      <w:r w:rsidR="358EC1C4" w:rsidRPr="006C13FE">
        <w:t xml:space="preserve"> </w:t>
      </w:r>
      <w:r w:rsidR="00CD5F85" w:rsidRPr="006C13FE">
        <w:t>1</w:t>
      </w:r>
      <w:r w:rsidRPr="006C13FE">
        <w:t>2</w:t>
      </w:r>
      <w:r w:rsidR="358EC1C4" w:rsidRPr="006C13FE">
        <w:t xml:space="preserve">. mgr. </w:t>
      </w:r>
      <w:r w:rsidRPr="006C13FE">
        <w:t xml:space="preserve">ákvæðisins </w:t>
      </w:r>
      <w:r w:rsidR="358EC1C4" w:rsidRPr="006C13FE">
        <w:t xml:space="preserve">er lagt til að tilkynningarskyldir aðilar skuli tryggja að áhættumat á samningssamböndum endurspegli fyrirliggjandi áhættu á hverjum tíma og sé í samræmi við þau viðskipti sem viðskiptamaður stundar. Með þessu er átt við að tilkynningarskyldir aðilar hafi </w:t>
      </w:r>
      <w:r w:rsidR="43A31D5C" w:rsidRPr="006C13FE">
        <w:t>aðferðir</w:t>
      </w:r>
      <w:r w:rsidR="358EC1C4" w:rsidRPr="006C13FE">
        <w:t xml:space="preserve"> til að fylgjast með því að áhættumat sé uppfært og viðeigandi miðað við stöðuna á hverjum tíma. Hluti af þessu er að tryggja að tilkynningarskyldir aðilar geti komið auga á </w:t>
      </w:r>
      <w:proofErr w:type="spellStart"/>
      <w:r w:rsidR="358EC1C4" w:rsidRPr="006C13FE">
        <w:t>væntar</w:t>
      </w:r>
      <w:proofErr w:type="spellEnd"/>
      <w:r w:rsidR="358EC1C4" w:rsidRPr="006C13FE">
        <w:t xml:space="preserve"> hættur á peningaþvætti og fjármögnun hryðjuverka, geti metið þær og þar sem við á, fellt þær inn í áhættumat á samningssamböndum og einstökum viðskiptum.</w:t>
      </w:r>
      <w:r w:rsidR="358EC1C4">
        <w:t xml:space="preserve"> </w:t>
      </w:r>
    </w:p>
    <w:p w14:paraId="7FE54F06" w14:textId="77777777" w:rsidR="006B013F" w:rsidRDefault="006B013F" w:rsidP="002104EF"/>
    <w:p w14:paraId="54EE04CF" w14:textId="2CC1681D" w:rsidR="006B013F" w:rsidRPr="006B013F" w:rsidRDefault="006B013F" w:rsidP="002104EF">
      <w:pPr>
        <w:rPr>
          <w:i/>
          <w:iCs/>
        </w:rPr>
      </w:pPr>
      <w:r w:rsidRPr="006B013F">
        <w:rPr>
          <w:i/>
          <w:iCs/>
        </w:rPr>
        <w:t>Um 5. gr. a. Stefna, stýringar og verkferlar.</w:t>
      </w:r>
    </w:p>
    <w:p w14:paraId="18EF499F" w14:textId="0D3DA6B6" w:rsidR="005A7E13" w:rsidRDefault="005A7E13" w:rsidP="005A7E13">
      <w:r>
        <w:t xml:space="preserve">Að lokum er lagt er til að um stefnu, stýringar og verkferla verði fjallað í sérstakri grein, 5. gr. </w:t>
      </w:r>
      <w:r w:rsidR="004F2703">
        <w:t>a</w:t>
      </w:r>
      <w:r>
        <w:t xml:space="preserve">. Ákvæði 1. og 2. mgr. er efnislega óbreytt frá núgildandi lögum að öðru leyti en því að lagt er til að kveðið sé á um að stefna, stýringar og verkferlar skuli byggja á áhættumati skv. 5. gr. og að þau skuli innihalda, eftir því sem við á, þau atriði sem kveðið er á um í a- og </w:t>
      </w:r>
      <w:proofErr w:type="spellStart"/>
      <w:r>
        <w:t>b-lið</w:t>
      </w:r>
      <w:proofErr w:type="spellEnd"/>
      <w:r>
        <w:t xml:space="preserve"> ákvæðisins. Breytingin er í samræmi við 3. mgr. 8. gr. tilskipunar 2015/849/EB.</w:t>
      </w:r>
    </w:p>
    <w:p w14:paraId="2EE818D4" w14:textId="77777777" w:rsidR="005A7E13" w:rsidRDefault="005A7E13" w:rsidP="005A7E13">
      <w:pPr>
        <w:rPr>
          <w:szCs w:val="21"/>
          <w:highlight w:val="yellow"/>
        </w:rPr>
      </w:pPr>
      <w:r>
        <w:t>Þá er lögð til sú breyting í 3. mgr. 5. gr. a að stjórn beri að samþykkja stefnu tilkynningarskylds aðila en ekki er lögð til breyting á því að yfirstjórn skuli samþykkja stýringar og verkferla.</w:t>
      </w:r>
    </w:p>
    <w:bookmarkEnd w:id="19"/>
    <w:p w14:paraId="11EA187E" w14:textId="77777777" w:rsidR="00765996" w:rsidRDefault="00765996" w:rsidP="0088120D">
      <w:pPr>
        <w:ind w:firstLine="0"/>
        <w:rPr>
          <w:rFonts w:cstheme="minorHAnsi"/>
        </w:rPr>
      </w:pPr>
    </w:p>
    <w:p w14:paraId="22D77F41" w14:textId="116D3A5E" w:rsidR="007235C4" w:rsidRDefault="007235C4" w:rsidP="007235C4">
      <w:pPr>
        <w:pStyle w:val="Greinarnmer"/>
      </w:pPr>
      <w:r w:rsidRPr="009A1DB7">
        <w:lastRenderedPageBreak/>
        <w:t xml:space="preserve">Um </w:t>
      </w:r>
      <w:r>
        <w:t>4</w:t>
      </w:r>
      <w:r w:rsidRPr="009A1DB7">
        <w:t>. gr.</w:t>
      </w:r>
    </w:p>
    <w:p w14:paraId="058D2D51" w14:textId="58B20CFF" w:rsidR="00CA5280" w:rsidRDefault="00CA5280" w:rsidP="00CA5280">
      <w:pPr>
        <w:rPr>
          <w:color w:val="242424"/>
          <w:shd w:val="clear" w:color="auto" w:fill="FFFFFF"/>
        </w:rPr>
      </w:pPr>
      <w:r>
        <w:rPr>
          <w:color w:val="242424"/>
          <w:shd w:val="clear" w:color="auto" w:fill="FFFFFF"/>
        </w:rPr>
        <w:t xml:space="preserve">Í fjórðu grein frumvarpsins eru lagðar til breytingar á 8. gr. laganna, en ákvæðið fjallar um þau tilvik þar sem áreiðanleikakönnun skal framkvæmd. Í fyrsta lagi er lagt til að orðið „viðvarandi“ verði fellt brott úr a. lið greinarinnar. Er það í samræmi við þær breytingar sem lagðar eru til í 2. gr. frumvarpsins þar sem hugtakið „samningssamband“ er skilgreint. Felur </w:t>
      </w:r>
      <w:proofErr w:type="spellStart"/>
      <w:r>
        <w:rPr>
          <w:color w:val="242424"/>
          <w:shd w:val="clear" w:color="auto" w:fill="FFFFFF"/>
        </w:rPr>
        <w:t>brottfellingin</w:t>
      </w:r>
      <w:proofErr w:type="spellEnd"/>
      <w:r>
        <w:rPr>
          <w:color w:val="242424"/>
          <w:shd w:val="clear" w:color="auto" w:fill="FFFFFF"/>
        </w:rPr>
        <w:t xml:space="preserve"> í sér </w:t>
      </w:r>
      <w:proofErr w:type="spellStart"/>
      <w:r>
        <w:rPr>
          <w:color w:val="242424"/>
          <w:shd w:val="clear" w:color="auto" w:fill="FFFFFF"/>
        </w:rPr>
        <w:t>samræmingu</w:t>
      </w:r>
      <w:proofErr w:type="spellEnd"/>
      <w:r>
        <w:rPr>
          <w:color w:val="242424"/>
          <w:shd w:val="clear" w:color="auto" w:fill="FFFFFF"/>
        </w:rPr>
        <w:t xml:space="preserve"> á hugtakanotkun og áréttingu á því að þegar rætt er um samningssamband í lögunum er átt við samningssamband eins og lagt er til að það sé skilgreint í 2. gr. frumvarpsins. </w:t>
      </w:r>
    </w:p>
    <w:p w14:paraId="14103291" w14:textId="719F253F" w:rsidR="00CA5280" w:rsidRDefault="7A09CAB5" w:rsidP="00CA5280">
      <w:pPr>
        <w:rPr>
          <w:color w:val="242424"/>
          <w:shd w:val="clear" w:color="auto" w:fill="FFFFFF"/>
        </w:rPr>
      </w:pPr>
      <w:bookmarkStart w:id="20" w:name="_Hlk94172536"/>
      <w:r>
        <w:rPr>
          <w:color w:val="242424"/>
          <w:shd w:val="clear" w:color="auto" w:fill="FFFFFF"/>
        </w:rPr>
        <w:t xml:space="preserve">Í öðru lagi er lagt til að við ákvæðið verði bætt tveimur stafliðum, annars vegar um </w:t>
      </w:r>
      <w:r w:rsidRPr="0062720E">
        <w:rPr>
          <w:color w:val="242424"/>
          <w:shd w:val="clear" w:color="auto" w:fill="FFFFFF"/>
        </w:rPr>
        <w:t>að</w:t>
      </w:r>
      <w:r>
        <w:rPr>
          <w:color w:val="242424"/>
          <w:shd w:val="clear" w:color="auto" w:fill="FFFFFF"/>
        </w:rPr>
        <w:t xml:space="preserve"> framkvæma skuli</w:t>
      </w:r>
      <w:r w:rsidRPr="0062720E">
        <w:rPr>
          <w:color w:val="242424"/>
          <w:shd w:val="clear" w:color="auto" w:fill="FFFFFF"/>
        </w:rPr>
        <w:t xml:space="preserve"> áreiðanleikakönnun </w:t>
      </w:r>
      <w:bookmarkEnd w:id="20"/>
      <w:r w:rsidRPr="0062720E">
        <w:rPr>
          <w:color w:val="242424"/>
          <w:shd w:val="clear" w:color="auto" w:fill="FFFFFF"/>
        </w:rPr>
        <w:t>í þeim tilvikum þar sem um einstök viðskipti með sýndareignir</w:t>
      </w:r>
      <w:r>
        <w:rPr>
          <w:color w:val="242424"/>
          <w:shd w:val="clear" w:color="auto" w:fill="FFFFFF"/>
        </w:rPr>
        <w:t xml:space="preserve"> er að ræða og hins vegar við millifærslu sýndareigna þegar um einstök viðskipti er að ræða. Í báðum tilvikum er lagt til að miðað verði við að um sé að ræða viðskipti að fjárhæð 1.000 evrur eða meira. Að gildandi lögum fer um slík viðskipti eftir </w:t>
      </w:r>
      <w:r w:rsidR="1DB71E44">
        <w:rPr>
          <w:color w:val="242424"/>
          <w:shd w:val="clear" w:color="auto" w:fill="FFFFFF"/>
        </w:rPr>
        <w:t xml:space="preserve">a. eða </w:t>
      </w:r>
      <w:r>
        <w:rPr>
          <w:color w:val="242424"/>
          <w:shd w:val="clear" w:color="auto" w:fill="FFFFFF"/>
        </w:rPr>
        <w:t>b. lið ákvæðisins</w:t>
      </w:r>
      <w:r w:rsidR="47F12E11">
        <w:rPr>
          <w:color w:val="242424"/>
          <w:shd w:val="clear" w:color="auto" w:fill="FFFFFF"/>
        </w:rPr>
        <w:t>, eftir því sem við á</w:t>
      </w:r>
      <w:r>
        <w:rPr>
          <w:color w:val="242424"/>
          <w:shd w:val="clear" w:color="auto" w:fill="FFFFFF"/>
        </w:rPr>
        <w:t xml:space="preserve"> . Þessi breyting er í samræmi við tilmæli FATF nr. 15, eins og þeim var breytt á árinu 2019.</w:t>
      </w:r>
    </w:p>
    <w:p w14:paraId="0164CEE9" w14:textId="77777777" w:rsidR="00A00BF1" w:rsidRDefault="00A00BF1" w:rsidP="00CA5280">
      <w:pPr>
        <w:rPr>
          <w:color w:val="242424"/>
          <w:shd w:val="clear" w:color="auto" w:fill="FFFFFF"/>
        </w:rPr>
      </w:pPr>
    </w:p>
    <w:p w14:paraId="59CCBE7B" w14:textId="56847C42" w:rsidR="00BB0576" w:rsidRPr="00D164EB" w:rsidRDefault="00CA5280" w:rsidP="00BB0576">
      <w:pPr>
        <w:pStyle w:val="Greinarnmer"/>
      </w:pPr>
      <w:r w:rsidRPr="00D164EB">
        <w:t>Um 5. gr.</w:t>
      </w:r>
    </w:p>
    <w:p w14:paraId="08D194AA" w14:textId="77777777" w:rsidR="00CA5280" w:rsidRDefault="00CA5280" w:rsidP="00CA5280">
      <w:pPr>
        <w:rPr>
          <w:color w:val="242424"/>
          <w:shd w:val="clear" w:color="auto" w:fill="FFFFFF"/>
        </w:rPr>
      </w:pPr>
      <w:r>
        <w:rPr>
          <w:color w:val="242424"/>
          <w:shd w:val="clear" w:color="auto" w:fill="FFFFFF"/>
        </w:rPr>
        <w:t xml:space="preserve">Í fimmtu grein frumvarpsins er lagt til að bætt verði nýjum staflið í 1. mgr. 9. gr. laganna um þau skilyrði sem þurfa að vera uppfyllt til þess að heimilt sé að víkja frá áreiðanleikakönnun á grundvelli áhættumats. Er þar bætt við því skilyrði að ekki sé hægt að fjármagna greiðslumiðil með nafnlausum </w:t>
      </w:r>
      <w:proofErr w:type="spellStart"/>
      <w:r>
        <w:rPr>
          <w:color w:val="242424"/>
          <w:shd w:val="clear" w:color="auto" w:fill="FFFFFF"/>
        </w:rPr>
        <w:t>rafeyri</w:t>
      </w:r>
      <w:proofErr w:type="spellEnd"/>
      <w:r>
        <w:rPr>
          <w:color w:val="242424"/>
          <w:shd w:val="clear" w:color="auto" w:fill="FFFFFF"/>
        </w:rPr>
        <w:t xml:space="preserve">. Um er að ræða innleiðingu á d. lið 12. gr. fjórðu peningaþvættistilskipunarinnar </w:t>
      </w:r>
      <w:bookmarkStart w:id="21" w:name="_Hlk94794183"/>
      <w:r w:rsidRPr="001A0742">
        <w:rPr>
          <w:color w:val="242424"/>
          <w:shd w:val="clear" w:color="auto" w:fill="FFFFFF"/>
        </w:rPr>
        <w:t>(2015/849/EB)</w:t>
      </w:r>
      <w:bookmarkEnd w:id="21"/>
      <w:r>
        <w:rPr>
          <w:color w:val="242424"/>
          <w:shd w:val="clear" w:color="auto" w:fill="FFFFFF"/>
        </w:rPr>
        <w:t xml:space="preserve">, en af hálfu ESA voru gerðar athugasemdir við að umræddur stafliður hefði ekki verið innleiddur í lög nr. 140/2018. Með nafnlausum </w:t>
      </w:r>
      <w:proofErr w:type="spellStart"/>
      <w:r>
        <w:rPr>
          <w:color w:val="242424"/>
          <w:shd w:val="clear" w:color="auto" w:fill="FFFFFF"/>
        </w:rPr>
        <w:t>rafeyri</w:t>
      </w:r>
      <w:proofErr w:type="spellEnd"/>
      <w:r>
        <w:rPr>
          <w:color w:val="242424"/>
          <w:shd w:val="clear" w:color="auto" w:fill="FFFFFF"/>
        </w:rPr>
        <w:t xml:space="preserve"> er því átt við „</w:t>
      </w:r>
      <w:proofErr w:type="spellStart"/>
      <w:r>
        <w:rPr>
          <w:color w:val="242424"/>
          <w:shd w:val="clear" w:color="auto" w:fill="FFFFFF"/>
        </w:rPr>
        <w:t>anonymous</w:t>
      </w:r>
      <w:proofErr w:type="spellEnd"/>
      <w:r>
        <w:rPr>
          <w:color w:val="242424"/>
          <w:shd w:val="clear" w:color="auto" w:fill="FFFFFF"/>
        </w:rPr>
        <w:t xml:space="preserve"> </w:t>
      </w:r>
      <w:proofErr w:type="spellStart"/>
      <w:r>
        <w:rPr>
          <w:color w:val="242424"/>
          <w:shd w:val="clear" w:color="auto" w:fill="FFFFFF"/>
        </w:rPr>
        <w:t>electronic</w:t>
      </w:r>
      <w:proofErr w:type="spellEnd"/>
      <w:r>
        <w:rPr>
          <w:color w:val="242424"/>
          <w:shd w:val="clear" w:color="auto" w:fill="FFFFFF"/>
        </w:rPr>
        <w:t xml:space="preserve"> </w:t>
      </w:r>
      <w:proofErr w:type="spellStart"/>
      <w:r>
        <w:rPr>
          <w:color w:val="242424"/>
          <w:shd w:val="clear" w:color="auto" w:fill="FFFFFF"/>
        </w:rPr>
        <w:t>money</w:t>
      </w:r>
      <w:proofErr w:type="spellEnd"/>
      <w:r>
        <w:rPr>
          <w:color w:val="242424"/>
          <w:shd w:val="clear" w:color="auto" w:fill="FFFFFF"/>
        </w:rPr>
        <w:t>“ eins og það hugtak birtist í nefndu ákvæði tilskipunarinnar.</w:t>
      </w:r>
    </w:p>
    <w:p w14:paraId="6B40E4B5" w14:textId="77777777" w:rsidR="00CA5280" w:rsidRDefault="00CA5280" w:rsidP="00CA5280">
      <w:pPr>
        <w:rPr>
          <w:color w:val="242424"/>
          <w:shd w:val="clear" w:color="auto" w:fill="FFFFFF"/>
        </w:rPr>
      </w:pPr>
      <w:r>
        <w:rPr>
          <w:color w:val="242424"/>
          <w:shd w:val="clear" w:color="auto" w:fill="FFFFFF"/>
        </w:rPr>
        <w:t xml:space="preserve">Þá er lagt til að í 3. mgr. 9. gr. verði felld brott tilvísun til a- og </w:t>
      </w:r>
      <w:proofErr w:type="spellStart"/>
      <w:r>
        <w:rPr>
          <w:color w:val="242424"/>
          <w:shd w:val="clear" w:color="auto" w:fill="FFFFFF"/>
        </w:rPr>
        <w:t>b-liðar</w:t>
      </w:r>
      <w:proofErr w:type="spellEnd"/>
      <w:r>
        <w:rPr>
          <w:color w:val="242424"/>
          <w:shd w:val="clear" w:color="auto" w:fill="FFFFFF"/>
        </w:rPr>
        <w:t xml:space="preserve"> 1. mgr. 9. gr. þannig að eingöngu verði vísað til 1. mgr. greinarinnar. Af því leiðir að allir stafliðir 1. mgr. 9. gr. eiga við þegar sú aðstaða er uppi sem nefnd er í 3. mgr. Um er að ræða breytingu til samræmis við þær breytingar sem gerðar voru á 12. gr. </w:t>
      </w:r>
      <w:r w:rsidRPr="001A0742">
        <w:rPr>
          <w:color w:val="242424"/>
          <w:shd w:val="clear" w:color="auto" w:fill="FFFFFF"/>
        </w:rPr>
        <w:t>fjórðu peningaþvættistilskipunar</w:t>
      </w:r>
      <w:r>
        <w:rPr>
          <w:color w:val="242424"/>
          <w:shd w:val="clear" w:color="auto" w:fill="FFFFFF"/>
        </w:rPr>
        <w:t>innar</w:t>
      </w:r>
      <w:r w:rsidRPr="001A0742">
        <w:rPr>
          <w:color w:val="242424"/>
          <w:shd w:val="clear" w:color="auto" w:fill="FFFFFF"/>
        </w:rPr>
        <w:t xml:space="preserve"> (2015/849/EB)</w:t>
      </w:r>
      <w:r>
        <w:rPr>
          <w:color w:val="242424"/>
          <w:shd w:val="clear" w:color="auto" w:fill="FFFFFF"/>
        </w:rPr>
        <w:t xml:space="preserve"> með fimmtu peningaþvættistilskipuninni (</w:t>
      </w:r>
      <w:r w:rsidRPr="00071298">
        <w:rPr>
          <w:color w:val="242424"/>
          <w:shd w:val="clear" w:color="auto" w:fill="FFFFFF"/>
        </w:rPr>
        <w:t>2018/843/EB</w:t>
      </w:r>
      <w:r>
        <w:rPr>
          <w:color w:val="242424"/>
          <w:shd w:val="clear" w:color="auto" w:fill="FFFFFF"/>
        </w:rPr>
        <w:t>).</w:t>
      </w:r>
    </w:p>
    <w:p w14:paraId="649868A6" w14:textId="587FE577" w:rsidR="00617234" w:rsidRDefault="00617234" w:rsidP="0088120D">
      <w:pPr>
        <w:ind w:firstLine="0"/>
        <w:rPr>
          <w:rFonts w:cstheme="minorHAnsi"/>
        </w:rPr>
      </w:pPr>
    </w:p>
    <w:p w14:paraId="4976A402" w14:textId="019422DF" w:rsidR="00186387" w:rsidRDefault="00186387" w:rsidP="00186387">
      <w:pPr>
        <w:pStyle w:val="Greinarnmer"/>
      </w:pPr>
      <w:r w:rsidRPr="009A1DB7">
        <w:t xml:space="preserve">Um </w:t>
      </w:r>
      <w:r w:rsidR="00BB0576">
        <w:t>6</w:t>
      </w:r>
      <w:r w:rsidRPr="009A1DB7">
        <w:t>. gr.</w:t>
      </w:r>
    </w:p>
    <w:p w14:paraId="7A7E35E2" w14:textId="77777777" w:rsidR="00CA5280" w:rsidRDefault="00CA5280" w:rsidP="00CA5280">
      <w:pPr>
        <w:rPr>
          <w:color w:val="242424"/>
          <w:shd w:val="clear" w:color="auto" w:fill="FFFFFF"/>
        </w:rPr>
      </w:pPr>
      <w:r>
        <w:rPr>
          <w:color w:val="242424"/>
          <w:shd w:val="clear" w:color="auto" w:fill="FFFFFF"/>
        </w:rPr>
        <w:t>Í sjöttu grein frumvarpsins eru lagðar til breytingar á tveimur stafliðum í 1. mgr. 10. gr. laganna, sem fjallar um þær kröfur sem tilkynningarskyldir aðilar skulu gera þegar áreiðanleiki upplýsinga um viðskiptamenn er kannaður</w:t>
      </w:r>
      <w:r w:rsidRPr="001A0742">
        <w:rPr>
          <w:color w:val="242424"/>
          <w:shd w:val="clear" w:color="auto" w:fill="FFFFFF"/>
        </w:rPr>
        <w:t xml:space="preserve">. </w:t>
      </w:r>
    </w:p>
    <w:p w14:paraId="56E621B3" w14:textId="2755CA0F" w:rsidR="00CA5280" w:rsidRDefault="7A09CAB5" w:rsidP="00CA5280">
      <w:pPr>
        <w:rPr>
          <w:color w:val="242424"/>
          <w:shd w:val="clear" w:color="auto" w:fill="FFFFFF"/>
        </w:rPr>
      </w:pPr>
      <w:r>
        <w:rPr>
          <w:color w:val="242424"/>
          <w:shd w:val="clear" w:color="auto" w:fill="FFFFFF"/>
        </w:rPr>
        <w:t>Samkvæmt</w:t>
      </w:r>
      <w:r w:rsidRPr="001A0742">
        <w:rPr>
          <w:color w:val="242424"/>
          <w:shd w:val="clear" w:color="auto" w:fill="FFFFFF"/>
        </w:rPr>
        <w:t xml:space="preserve"> b</w:t>
      </w:r>
      <w:r>
        <w:rPr>
          <w:color w:val="242424"/>
          <w:shd w:val="clear" w:color="auto" w:fill="FFFFFF"/>
        </w:rPr>
        <w:t xml:space="preserve">. </w:t>
      </w:r>
      <w:r w:rsidRPr="001A0742">
        <w:rPr>
          <w:color w:val="242424"/>
          <w:shd w:val="clear" w:color="auto" w:fill="FFFFFF"/>
        </w:rPr>
        <w:t xml:space="preserve">lið </w:t>
      </w:r>
      <w:r>
        <w:rPr>
          <w:color w:val="242424"/>
          <w:shd w:val="clear" w:color="auto" w:fill="FFFFFF"/>
        </w:rPr>
        <w:t>10. gr.</w:t>
      </w:r>
      <w:r w:rsidRPr="001A0742">
        <w:rPr>
          <w:color w:val="242424"/>
          <w:shd w:val="clear" w:color="auto" w:fill="FFFFFF"/>
        </w:rPr>
        <w:t xml:space="preserve"> </w:t>
      </w:r>
      <w:r w:rsidR="39EC84F7" w:rsidRPr="001A0742">
        <w:rPr>
          <w:color w:val="242424"/>
          <w:shd w:val="clear" w:color="auto" w:fill="FFFFFF"/>
        </w:rPr>
        <w:t xml:space="preserve">í núgildandi lögum </w:t>
      </w:r>
      <w:r>
        <w:rPr>
          <w:color w:val="242424"/>
          <w:shd w:val="clear" w:color="auto" w:fill="FFFFFF"/>
        </w:rPr>
        <w:t>skulu</w:t>
      </w:r>
      <w:r w:rsidRPr="001A0742">
        <w:rPr>
          <w:color w:val="242424"/>
          <w:shd w:val="clear" w:color="auto" w:fill="FFFFFF"/>
        </w:rPr>
        <w:t xml:space="preserve"> </w:t>
      </w:r>
      <w:proofErr w:type="spellStart"/>
      <w:r w:rsidRPr="001A0742">
        <w:rPr>
          <w:color w:val="242424"/>
          <w:shd w:val="clear" w:color="auto" w:fill="FFFFFF"/>
        </w:rPr>
        <w:t>prókúruhafar</w:t>
      </w:r>
      <w:proofErr w:type="spellEnd"/>
      <w:r w:rsidRPr="001A0742">
        <w:rPr>
          <w:color w:val="242424"/>
          <w:shd w:val="clear" w:color="auto" w:fill="FFFFFF"/>
        </w:rPr>
        <w:t xml:space="preserve"> og aðrir þeir sem hafa sérstaka heimild til að koma fram fyrir hönd viðskiptavinar sanna á sér deili skv. a</w:t>
      </w:r>
      <w:r>
        <w:rPr>
          <w:color w:val="242424"/>
          <w:shd w:val="clear" w:color="auto" w:fill="FFFFFF"/>
        </w:rPr>
        <w:t xml:space="preserve">. </w:t>
      </w:r>
      <w:r w:rsidRPr="001A0742">
        <w:rPr>
          <w:color w:val="242424"/>
          <w:shd w:val="clear" w:color="auto" w:fill="FFFFFF"/>
        </w:rPr>
        <w:t xml:space="preserve">lið. </w:t>
      </w:r>
      <w:r>
        <w:rPr>
          <w:color w:val="242424"/>
          <w:shd w:val="clear" w:color="auto" w:fill="FFFFFF"/>
        </w:rPr>
        <w:t xml:space="preserve">Er það orðalag villandi að því leyti að það gefur til kynna að einungis </w:t>
      </w:r>
      <w:proofErr w:type="spellStart"/>
      <w:r>
        <w:rPr>
          <w:color w:val="242424"/>
          <w:shd w:val="clear" w:color="auto" w:fill="FFFFFF"/>
        </w:rPr>
        <w:t>prókúruhafar</w:t>
      </w:r>
      <w:proofErr w:type="spellEnd"/>
      <w:r>
        <w:rPr>
          <w:color w:val="242424"/>
          <w:shd w:val="clear" w:color="auto" w:fill="FFFFFF"/>
        </w:rPr>
        <w:t xml:space="preserve"> og aðrir sem fengið hafa til þess sérstaka heimild, geti komið fram fyrir hönd viðskiptamanns. </w:t>
      </w:r>
      <w:r w:rsidRPr="001A0742">
        <w:rPr>
          <w:color w:val="242424"/>
          <w:shd w:val="clear" w:color="auto" w:fill="FFFFFF"/>
        </w:rPr>
        <w:t xml:space="preserve">Með frumvarpinu er </w:t>
      </w:r>
      <w:r>
        <w:rPr>
          <w:color w:val="242424"/>
          <w:shd w:val="clear" w:color="auto" w:fill="FFFFFF"/>
        </w:rPr>
        <w:t xml:space="preserve">því </w:t>
      </w:r>
      <w:r w:rsidR="40531B5B">
        <w:rPr>
          <w:color w:val="242424"/>
          <w:shd w:val="clear" w:color="auto" w:fill="FFFFFF"/>
        </w:rPr>
        <w:t xml:space="preserve">í fyrsta lagi </w:t>
      </w:r>
      <w:r w:rsidRPr="001A0742">
        <w:rPr>
          <w:color w:val="242424"/>
          <w:shd w:val="clear" w:color="auto" w:fill="FFFFFF"/>
        </w:rPr>
        <w:t>lagt til</w:t>
      </w:r>
      <w:r>
        <w:rPr>
          <w:color w:val="242424"/>
          <w:shd w:val="clear" w:color="auto" w:fill="FFFFFF"/>
        </w:rPr>
        <w:t xml:space="preserve"> að nefndum </w:t>
      </w:r>
      <w:proofErr w:type="spellStart"/>
      <w:r>
        <w:rPr>
          <w:color w:val="242424"/>
          <w:shd w:val="clear" w:color="auto" w:fill="FFFFFF"/>
        </w:rPr>
        <w:t>b-lið</w:t>
      </w:r>
      <w:proofErr w:type="spellEnd"/>
      <w:r>
        <w:rPr>
          <w:color w:val="242424"/>
          <w:shd w:val="clear" w:color="auto" w:fill="FFFFFF"/>
        </w:rPr>
        <w:t xml:space="preserve"> verði breytt á þann veg að þar verði ekki lengur vísað til </w:t>
      </w:r>
      <w:proofErr w:type="spellStart"/>
      <w:r>
        <w:rPr>
          <w:color w:val="242424"/>
          <w:shd w:val="clear" w:color="auto" w:fill="FFFFFF"/>
        </w:rPr>
        <w:t>prókúruhafa</w:t>
      </w:r>
      <w:proofErr w:type="spellEnd"/>
      <w:r>
        <w:rPr>
          <w:color w:val="242424"/>
          <w:shd w:val="clear" w:color="auto" w:fill="FFFFFF"/>
        </w:rPr>
        <w:t xml:space="preserve"> og annarra sem koma fram fyrir hönd viðskiptamanns á grundvelli sérstakrar heimildar, heldur almennt til þeirra sem hafa heimild til að koma fram fyrir hans hönd. Er það jafnframt í samræmi við orðalag 2. málsliðar 1. mgr. 13</w:t>
      </w:r>
      <w:r w:rsidRPr="001A0742">
        <w:rPr>
          <w:color w:val="242424"/>
          <w:shd w:val="clear" w:color="auto" w:fill="FFFFFF"/>
        </w:rPr>
        <w:t xml:space="preserve"> fjórðu peningaþvættistilskipunar</w:t>
      </w:r>
      <w:r>
        <w:rPr>
          <w:color w:val="242424"/>
          <w:shd w:val="clear" w:color="auto" w:fill="FFFFFF"/>
        </w:rPr>
        <w:t xml:space="preserve">innar </w:t>
      </w:r>
      <w:r w:rsidRPr="001A0742">
        <w:rPr>
          <w:color w:val="242424"/>
          <w:shd w:val="clear" w:color="auto" w:fill="FFFFFF"/>
        </w:rPr>
        <w:t>(2015/849/EB)</w:t>
      </w:r>
      <w:r>
        <w:rPr>
          <w:color w:val="242424"/>
          <w:shd w:val="clear" w:color="auto" w:fill="FFFFFF"/>
        </w:rPr>
        <w:t xml:space="preserve"> þar sem segir:</w:t>
      </w:r>
    </w:p>
    <w:p w14:paraId="55A7C0F1" w14:textId="77777777" w:rsidR="00CA5280" w:rsidRDefault="00CA5280" w:rsidP="00CA5280">
      <w:pPr>
        <w:rPr>
          <w:color w:val="242424"/>
          <w:shd w:val="clear" w:color="auto" w:fill="FFFFFF"/>
        </w:rPr>
      </w:pPr>
      <w:r>
        <w:rPr>
          <w:i/>
          <w:iCs/>
          <w:color w:val="242424"/>
          <w:shd w:val="clear" w:color="auto" w:fill="FFFFFF"/>
        </w:rPr>
        <w:t>„</w:t>
      </w:r>
      <w:r w:rsidRPr="001A0742">
        <w:rPr>
          <w:i/>
          <w:iCs/>
          <w:color w:val="242424"/>
          <w:shd w:val="clear" w:color="auto" w:fill="FFFFFF"/>
        </w:rPr>
        <w:t xml:space="preserve">Tilkynningarskyldir aðilar skulu einnig sannreyna þegar þeir gera ráðstafanirnar sem um getur í a- og b- lið fyrstu undirgreinar, að sérhver einstaklingur sem gefur sig út fyrir að koma fram fyrir hönd viðskiptamannsins hafi heimild til þess og auðkenna og sannreyna deili </w:t>
      </w:r>
      <w:r w:rsidRPr="001A0742">
        <w:rPr>
          <w:i/>
          <w:iCs/>
          <w:color w:val="242424"/>
          <w:shd w:val="clear" w:color="auto" w:fill="FFFFFF"/>
        </w:rPr>
        <w:lastRenderedPageBreak/>
        <w:t xml:space="preserve">á þeim einstaklingi… Tilkynningarskyldir aðilar geta þó ákveðið umfang slíkra ráðstafana samkvæmt áhættumati.“  </w:t>
      </w:r>
    </w:p>
    <w:p w14:paraId="1FA1D37D" w14:textId="2333C843" w:rsidR="00CA5280" w:rsidRDefault="7A09CAB5" w:rsidP="00CA5280">
      <w:pPr>
        <w:rPr>
          <w:color w:val="242424"/>
          <w:shd w:val="clear" w:color="auto" w:fill="FFFFFF"/>
        </w:rPr>
      </w:pPr>
      <w:r>
        <w:rPr>
          <w:color w:val="242424"/>
          <w:shd w:val="clear" w:color="auto" w:fill="FFFFFF"/>
        </w:rPr>
        <w:t xml:space="preserve">Í öðru </w:t>
      </w:r>
      <w:r w:rsidR="45A87060">
        <w:rPr>
          <w:color w:val="242424"/>
          <w:shd w:val="clear" w:color="auto" w:fill="FFFFFF"/>
        </w:rPr>
        <w:t xml:space="preserve">lagi </w:t>
      </w:r>
      <w:r>
        <w:rPr>
          <w:color w:val="242424"/>
          <w:shd w:val="clear" w:color="auto" w:fill="FFFFFF"/>
        </w:rPr>
        <w:t>er lagt til að áréttað verði í ákvæðinu að það nái til þeirrar aðstöðu þegar einstaklingur kemur fram fyrir hönd viðskiptamanns „gagnvart tilkynningarskyldum aðila“. Felur breytingin í sér að þeir sem hafa heimild til að koma fram fyrir hönd viðskiptavinar þurfa ekki fortakslaust að sanna á sér deili nema þegar</w:t>
      </w:r>
      <w:r w:rsidRPr="00FD0F6A">
        <w:t xml:space="preserve"> </w:t>
      </w:r>
      <w:r w:rsidRPr="00FD0F6A">
        <w:rPr>
          <w:color w:val="242424"/>
          <w:shd w:val="clear" w:color="auto" w:fill="FFFFFF"/>
        </w:rPr>
        <w:t>þeir eru í raun að koma fram fyrir hans hönd gagnvart tilkynningarskyldum aðila</w:t>
      </w:r>
      <w:r>
        <w:rPr>
          <w:color w:val="242424"/>
          <w:shd w:val="clear" w:color="auto" w:fill="FFFFFF"/>
        </w:rPr>
        <w:t xml:space="preserve"> á grundvelli heimildar sinnar, en orðalag núgildandi ákvæðis gefur til kynna að undantekningarlaust þurfi að afla slíkrar sönnunar óháð því hvort í raun sé verið að koma fram gagnvart tilkynningarskyldum aðila eða ekki. Með vísan til 2. málsliðar 10. mgr. 10. gr. laganna geta </w:t>
      </w:r>
      <w:r w:rsidRPr="001A0742">
        <w:rPr>
          <w:color w:val="242424"/>
          <w:shd w:val="clear" w:color="auto" w:fill="FFFFFF"/>
        </w:rPr>
        <w:t>tilkynningarskyldir aðilar</w:t>
      </w:r>
      <w:r>
        <w:rPr>
          <w:color w:val="242424"/>
          <w:shd w:val="clear" w:color="auto" w:fill="FFFFFF"/>
        </w:rPr>
        <w:t xml:space="preserve"> því t.a.m.</w:t>
      </w:r>
      <w:r w:rsidRPr="001A0742">
        <w:rPr>
          <w:color w:val="242424"/>
          <w:shd w:val="clear" w:color="auto" w:fill="FFFFFF"/>
        </w:rPr>
        <w:t xml:space="preserve"> beitt áhættumiðaðri nálgun við mat á því hvort </w:t>
      </w:r>
      <w:r>
        <w:rPr>
          <w:color w:val="242424"/>
          <w:shd w:val="clear" w:color="auto" w:fill="FFFFFF"/>
        </w:rPr>
        <w:t>nauðsynlegt sé að afla</w:t>
      </w:r>
      <w:r w:rsidRPr="001A0742">
        <w:rPr>
          <w:color w:val="242424"/>
          <w:shd w:val="clear" w:color="auto" w:fill="FFFFFF"/>
        </w:rPr>
        <w:t xml:space="preserve"> </w:t>
      </w:r>
      <w:proofErr w:type="spellStart"/>
      <w:r w:rsidRPr="001A0742">
        <w:rPr>
          <w:color w:val="242424"/>
          <w:shd w:val="clear" w:color="auto" w:fill="FFFFFF"/>
        </w:rPr>
        <w:t>skilríkja</w:t>
      </w:r>
      <w:proofErr w:type="spellEnd"/>
      <w:r w:rsidRPr="001A0742">
        <w:rPr>
          <w:color w:val="242424"/>
          <w:shd w:val="clear" w:color="auto" w:fill="FFFFFF"/>
        </w:rPr>
        <w:t xml:space="preserve"> hjá öllum sem skráðir eru </w:t>
      </w:r>
      <w:proofErr w:type="spellStart"/>
      <w:r w:rsidRPr="001A0742">
        <w:rPr>
          <w:color w:val="242424"/>
          <w:shd w:val="clear" w:color="auto" w:fill="FFFFFF"/>
        </w:rPr>
        <w:t>prókúruhafar</w:t>
      </w:r>
      <w:proofErr w:type="spellEnd"/>
      <w:r>
        <w:rPr>
          <w:color w:val="242424"/>
          <w:shd w:val="clear" w:color="auto" w:fill="FFFFFF"/>
        </w:rPr>
        <w:t xml:space="preserve"> hjá viðskiptamanni</w:t>
      </w:r>
      <w:r w:rsidRPr="001A0742">
        <w:rPr>
          <w:color w:val="242424"/>
          <w:shd w:val="clear" w:color="auto" w:fill="FFFFFF"/>
        </w:rPr>
        <w:t xml:space="preserve">, óháð því hvort þeir </w:t>
      </w:r>
      <w:r>
        <w:rPr>
          <w:color w:val="242424"/>
          <w:shd w:val="clear" w:color="auto" w:fill="FFFFFF"/>
        </w:rPr>
        <w:t>séu</w:t>
      </w:r>
      <w:r w:rsidRPr="001A0742">
        <w:rPr>
          <w:color w:val="242424"/>
          <w:shd w:val="clear" w:color="auto" w:fill="FFFFFF"/>
        </w:rPr>
        <w:t xml:space="preserve"> í raun</w:t>
      </w:r>
      <w:r>
        <w:rPr>
          <w:color w:val="242424"/>
          <w:shd w:val="clear" w:color="auto" w:fill="FFFFFF"/>
        </w:rPr>
        <w:t xml:space="preserve"> að koma fram</w:t>
      </w:r>
      <w:r w:rsidRPr="001A0742">
        <w:rPr>
          <w:color w:val="242424"/>
          <w:shd w:val="clear" w:color="auto" w:fill="FFFFFF"/>
        </w:rPr>
        <w:t xml:space="preserve"> gagnvart tilkynningarskyldum aðila. Alltaf þ</w:t>
      </w:r>
      <w:r>
        <w:rPr>
          <w:color w:val="242424"/>
          <w:shd w:val="clear" w:color="auto" w:fill="FFFFFF"/>
        </w:rPr>
        <w:t>yrfti</w:t>
      </w:r>
      <w:r w:rsidRPr="001A0742">
        <w:rPr>
          <w:color w:val="242424"/>
          <w:shd w:val="clear" w:color="auto" w:fill="FFFFFF"/>
        </w:rPr>
        <w:t xml:space="preserve"> þó að afla </w:t>
      </w:r>
      <w:proofErr w:type="spellStart"/>
      <w:r w:rsidRPr="001A0742">
        <w:rPr>
          <w:color w:val="242424"/>
          <w:shd w:val="clear" w:color="auto" w:fill="FFFFFF"/>
        </w:rPr>
        <w:t>skilríkja</w:t>
      </w:r>
      <w:proofErr w:type="spellEnd"/>
      <w:r w:rsidRPr="001A0742">
        <w:rPr>
          <w:color w:val="242424"/>
          <w:shd w:val="clear" w:color="auto" w:fill="FFFFFF"/>
        </w:rPr>
        <w:t xml:space="preserve"> þeirra sem tak</w:t>
      </w:r>
      <w:r>
        <w:rPr>
          <w:color w:val="242424"/>
          <w:shd w:val="clear" w:color="auto" w:fill="FFFFFF"/>
        </w:rPr>
        <w:t>a</w:t>
      </w:r>
      <w:r w:rsidRPr="001A0742">
        <w:rPr>
          <w:color w:val="242424"/>
          <w:shd w:val="clear" w:color="auto" w:fill="FFFFFF"/>
        </w:rPr>
        <w:t xml:space="preserve">st á hendur skuldbindingu fyrir hönd viðskiptamanns gagnvart tilkynningarskyldum aðila, t.d. hjá þeim sem skrifar undir samning um lán eða ráðstöfun láns eða þeim sem hyggst ráðstafa eða millifæra innstæðu á bankareikningi. </w:t>
      </w:r>
    </w:p>
    <w:p w14:paraId="1E3B3881" w14:textId="77777777" w:rsidR="00CA5280" w:rsidRPr="001A0742" w:rsidRDefault="00CA5280" w:rsidP="00CA5280">
      <w:pPr>
        <w:rPr>
          <w:color w:val="242424"/>
          <w:shd w:val="clear" w:color="auto" w:fill="FFFFFF"/>
        </w:rPr>
      </w:pPr>
      <w:r>
        <w:rPr>
          <w:color w:val="242424"/>
          <w:shd w:val="clear" w:color="auto" w:fill="FFFFFF"/>
        </w:rPr>
        <w:t xml:space="preserve">Í þriðja lagi felst í breytingunni að þeir sem koma fram fyrir hönd viðskiptamanns þurfa ekki aðeins að sanna á sér deili, heldur þurfa þeir einnig að sanna að þeir hafi heimild til þess að koma fram fyrir hans hönd. Er sú breyting í samræmi við aðrar breytingar á ákvæðinu og orðalag áðurnefnds </w:t>
      </w:r>
      <w:bookmarkStart w:id="22" w:name="_Hlk94196558"/>
      <w:r>
        <w:rPr>
          <w:color w:val="242424"/>
          <w:shd w:val="clear" w:color="auto" w:fill="FFFFFF"/>
        </w:rPr>
        <w:t>2. málsliðar 1. mgr. 13</w:t>
      </w:r>
      <w:r w:rsidRPr="001A0742">
        <w:rPr>
          <w:color w:val="242424"/>
          <w:shd w:val="clear" w:color="auto" w:fill="FFFFFF"/>
        </w:rPr>
        <w:t xml:space="preserve"> </w:t>
      </w:r>
      <w:bookmarkStart w:id="23" w:name="_Hlk94794063"/>
      <w:r w:rsidRPr="001A0742">
        <w:rPr>
          <w:color w:val="242424"/>
          <w:shd w:val="clear" w:color="auto" w:fill="FFFFFF"/>
        </w:rPr>
        <w:t>fjórðu peningaþvættistilskipunar</w:t>
      </w:r>
      <w:r>
        <w:rPr>
          <w:color w:val="242424"/>
          <w:shd w:val="clear" w:color="auto" w:fill="FFFFFF"/>
        </w:rPr>
        <w:t xml:space="preserve">innar </w:t>
      </w:r>
      <w:r w:rsidRPr="001A0742">
        <w:rPr>
          <w:color w:val="242424"/>
          <w:shd w:val="clear" w:color="auto" w:fill="FFFFFF"/>
        </w:rPr>
        <w:t>(2015/849/EB)</w:t>
      </w:r>
      <w:bookmarkEnd w:id="23"/>
      <w:r>
        <w:rPr>
          <w:color w:val="242424"/>
          <w:shd w:val="clear" w:color="auto" w:fill="FFFFFF"/>
        </w:rPr>
        <w:t>.</w:t>
      </w:r>
      <w:bookmarkEnd w:id="22"/>
    </w:p>
    <w:p w14:paraId="60F37B63" w14:textId="06790886" w:rsidR="00CA5280" w:rsidRDefault="7A09CAB5" w:rsidP="00CA5280">
      <w:pPr>
        <w:rPr>
          <w:color w:val="242424"/>
          <w:shd w:val="clear" w:color="auto" w:fill="FFFFFF"/>
        </w:rPr>
      </w:pPr>
      <w:r>
        <w:rPr>
          <w:color w:val="242424"/>
          <w:shd w:val="clear" w:color="auto" w:fill="FFFFFF"/>
        </w:rPr>
        <w:t>Þá er</w:t>
      </w:r>
      <w:r w:rsidRPr="001A0742">
        <w:rPr>
          <w:color w:val="242424"/>
          <w:shd w:val="clear" w:color="auto" w:fill="FFFFFF"/>
        </w:rPr>
        <w:t xml:space="preserve"> lagt til að </w:t>
      </w:r>
      <w:proofErr w:type="spellStart"/>
      <w:r w:rsidRPr="001A0742">
        <w:rPr>
          <w:color w:val="242424"/>
          <w:shd w:val="clear" w:color="auto" w:fill="FFFFFF"/>
        </w:rPr>
        <w:t>e-lið</w:t>
      </w:r>
      <w:proofErr w:type="spellEnd"/>
      <w:r w:rsidRPr="001A0742">
        <w:rPr>
          <w:color w:val="242424"/>
          <w:shd w:val="clear" w:color="auto" w:fill="FFFFFF"/>
        </w:rPr>
        <w:t xml:space="preserve"> 10. gr. laganna verði breytt þannig að áhersla verði lögð á að fullnægjandi upplýsinga</w:t>
      </w:r>
      <w:r w:rsidR="7D22E0A1" w:rsidRPr="001A0742">
        <w:rPr>
          <w:color w:val="242424"/>
          <w:shd w:val="clear" w:color="auto" w:fill="FFFFFF"/>
        </w:rPr>
        <w:t>r</w:t>
      </w:r>
      <w:r w:rsidRPr="001A0742">
        <w:rPr>
          <w:color w:val="242424"/>
          <w:shd w:val="clear" w:color="auto" w:fill="FFFFFF"/>
        </w:rPr>
        <w:t xml:space="preserve"> um raunverulega eigendur </w:t>
      </w:r>
      <w:r>
        <w:rPr>
          <w:color w:val="242424"/>
          <w:shd w:val="clear" w:color="auto" w:fill="FFFFFF"/>
        </w:rPr>
        <w:t xml:space="preserve">hafi verið veittar og að þær upplýsingar hafi verið sannreyndar. Í </w:t>
      </w:r>
      <w:r w:rsidRPr="001A0742">
        <w:rPr>
          <w:color w:val="242424"/>
          <w:shd w:val="clear" w:color="auto" w:fill="FFFFFF"/>
        </w:rPr>
        <w:t>núgildandi lögum er vísað til þess að raunverulegur eigandi þurfi að sanna á sér deili</w:t>
      </w:r>
      <w:r>
        <w:rPr>
          <w:color w:val="242424"/>
          <w:shd w:val="clear" w:color="auto" w:fill="FFFFFF"/>
        </w:rPr>
        <w:t xml:space="preserve"> samkvæmt a-lið ákvæðisins, þ.e. með framvísun viðurkenndra persónuskilríkja. Er ákvæðið fortakslaust að þessu leyti og hefur valdið nokkrum vandkvæðum í framkvæmd enda geta verið margir raunverulegir eigendur að baki einum viðskiptamanni, sem þyrftu þá allir að framvísa viðurkenndum persónuskilríkjum samkvæmt ákvæðinu. Þá gerir ákvæðið að vissu leyti strangari kröfur hvað þetta varðar en leiðir af </w:t>
      </w:r>
      <w:proofErr w:type="spellStart"/>
      <w:r>
        <w:rPr>
          <w:color w:val="242424"/>
          <w:shd w:val="clear" w:color="auto" w:fill="FFFFFF"/>
        </w:rPr>
        <w:t>b-lið</w:t>
      </w:r>
      <w:proofErr w:type="spellEnd"/>
      <w:r>
        <w:rPr>
          <w:color w:val="242424"/>
          <w:shd w:val="clear" w:color="auto" w:fill="FFFFFF"/>
        </w:rPr>
        <w:t xml:space="preserve"> 1. mgr. 13. gr. fjórðu peningaþvættistilskipunarinnar </w:t>
      </w:r>
      <w:r w:rsidRPr="00D23A79">
        <w:rPr>
          <w:color w:val="242424"/>
          <w:shd w:val="clear" w:color="auto" w:fill="FFFFFF"/>
        </w:rPr>
        <w:t>(2015/849/EB)</w:t>
      </w:r>
      <w:r>
        <w:rPr>
          <w:color w:val="242424"/>
          <w:shd w:val="clear" w:color="auto" w:fill="FFFFFF"/>
        </w:rPr>
        <w:t xml:space="preserve"> þar sem segir:</w:t>
      </w:r>
    </w:p>
    <w:p w14:paraId="77D16C96" w14:textId="77777777" w:rsidR="00CA5280" w:rsidRDefault="00CA5280" w:rsidP="00CA5280">
      <w:pPr>
        <w:rPr>
          <w:color w:val="242424"/>
          <w:shd w:val="clear" w:color="auto" w:fill="FFFFFF"/>
        </w:rPr>
      </w:pPr>
      <w:r>
        <w:rPr>
          <w:color w:val="242424"/>
          <w:shd w:val="clear" w:color="auto" w:fill="FFFFFF"/>
        </w:rPr>
        <w:t>„</w:t>
      </w:r>
      <w:r w:rsidRPr="004F4144">
        <w:rPr>
          <w:i/>
          <w:iCs/>
          <w:color w:val="242424"/>
          <w:shd w:val="clear" w:color="auto" w:fill="FFFFFF"/>
          <w:lang w:val="en-GB"/>
        </w:rPr>
        <w:t>identifying the beneficial owner and taking reasonable measures to verify that person's identity so that the obliged entity is satisfied that it knows who the beneficial owner is, including, as regards legal persons, trusts, companies, foundations and similar legal arrangements, taking reasonable measures to understand the ownership and control structure of the customer</w:t>
      </w:r>
      <w:r>
        <w:rPr>
          <w:color w:val="242424"/>
          <w:shd w:val="clear" w:color="auto" w:fill="FFFFFF"/>
        </w:rPr>
        <w:t>“.</w:t>
      </w:r>
    </w:p>
    <w:p w14:paraId="383FBEB6" w14:textId="677A40BE" w:rsidR="00CA5280" w:rsidRDefault="7A09CAB5" w:rsidP="00CA5280">
      <w:pPr>
        <w:rPr>
          <w:color w:val="242424"/>
          <w:shd w:val="clear" w:color="auto" w:fill="FFFFFF"/>
        </w:rPr>
      </w:pPr>
      <w:r>
        <w:rPr>
          <w:color w:val="242424"/>
          <w:shd w:val="clear" w:color="auto" w:fill="FFFFFF"/>
        </w:rPr>
        <w:t xml:space="preserve">Af þessum sökum er lagt til að ákvæðinu verði breytt á þann veg að í stað þess að raunverulegir eigendur þurfi að sanna á sér deili með framvísun viðurkenndra persónuskilríkja, sé gerð krafa um að fullnægjandi upplýsingar um raunverulega eigendur hafi verið veittar og þær sannreyndar. Af því leiðir að unnt er að sýna fram á raunverulegan eiganda með öðrum hætti heldur en að hann framvísi viðurkenndum persónuskilríkjum eins og þau eru skilgreind í lögunum. Sú krafa er aftur á móti lögð á herðar tilkynningarskyldra aðila að sannreyna þær upplýsingar sem veittar eru í þeim tilgangi. Í þeim efnum verður annars vegar að hafa í huga þá skyldu sem hvílir á tilkynningarskyldum aðilum samkvæmt 2. mgr. 10. gr. laganna til að afla upplýsinga um raunverulegan eiganda, grípa til réttmætra ráðstafana til að sannreyna þær upplýsingar og meta með sjálfstæðum hætti hvort upplýsingar um raunverulegan eiganda séu réttar og fullnægjandi, og hins vegar þann áskilnað 2. málsliðar 10. mgr. greinarinnar að áreiðanleikakönnun skuli ávallt framkvæmd á grundvelli áhættumats. Af </w:t>
      </w:r>
      <w:r>
        <w:rPr>
          <w:color w:val="242424"/>
          <w:shd w:val="clear" w:color="auto" w:fill="FFFFFF"/>
        </w:rPr>
        <w:lastRenderedPageBreak/>
        <w:t xml:space="preserve">því leiðir að á grundvelli áhættumiðaðrar nálgunar hafa tilkynningarskyldir aðilar því visst svigrúm við mat á því hvort veittar upplýsingar um raunverulegan eiganda séu fullnægjandi.   </w:t>
      </w:r>
    </w:p>
    <w:p w14:paraId="22243E19" w14:textId="10F5FCB9" w:rsidR="00D164EB" w:rsidRDefault="383E21EA" w:rsidP="47A4417F">
      <w:pPr>
        <w:rPr>
          <w:color w:val="242424"/>
          <w:szCs w:val="21"/>
          <w:shd w:val="clear" w:color="auto" w:fill="FFFFFF"/>
        </w:rPr>
      </w:pPr>
      <w:r>
        <w:rPr>
          <w:color w:val="242424"/>
          <w:shd w:val="clear" w:color="auto" w:fill="FFFFFF"/>
        </w:rPr>
        <w:t>Þá er l</w:t>
      </w:r>
      <w:r w:rsidR="4F06E230">
        <w:rPr>
          <w:color w:val="242424"/>
          <w:shd w:val="clear" w:color="auto" w:fill="FFFFFF"/>
        </w:rPr>
        <w:t xml:space="preserve">agt til að 6. mgr. 10. gr. verði felld brott úr </w:t>
      </w:r>
      <w:r w:rsidR="7D971232">
        <w:rPr>
          <w:color w:val="242424"/>
          <w:shd w:val="clear" w:color="auto" w:fill="FFFFFF"/>
        </w:rPr>
        <w:t>lögunum</w:t>
      </w:r>
      <w:r w:rsidR="4F06E230">
        <w:rPr>
          <w:color w:val="242424"/>
          <w:shd w:val="clear" w:color="auto" w:fill="FFFFFF"/>
        </w:rPr>
        <w:t xml:space="preserve">. Umrætt ákvæði vísar til þess að tilkynningarskyldir aðilar </w:t>
      </w:r>
      <w:r w:rsidR="4F06E230" w:rsidRPr="47A4417F">
        <w:rPr>
          <w:i/>
          <w:iCs/>
          <w:color w:val="242424"/>
          <w:shd w:val="clear" w:color="auto" w:fill="FFFFFF"/>
        </w:rPr>
        <w:t>geti</w:t>
      </w:r>
      <w:r w:rsidR="4F06E230">
        <w:rPr>
          <w:color w:val="242424"/>
          <w:shd w:val="clear" w:color="auto" w:fill="FFFFFF"/>
        </w:rPr>
        <w:t xml:space="preserve"> gert auknar kröfur um könnun á áreiðanleika upplýsinga á grundvelli</w:t>
      </w:r>
      <w:r w:rsidR="2F22B82F">
        <w:rPr>
          <w:color w:val="242424"/>
          <w:shd w:val="clear" w:color="auto" w:fill="FFFFFF"/>
        </w:rPr>
        <w:t xml:space="preserve"> skjalfests</w:t>
      </w:r>
      <w:r w:rsidR="4F06E230">
        <w:rPr>
          <w:color w:val="242424"/>
          <w:shd w:val="clear" w:color="auto" w:fill="FFFFFF"/>
        </w:rPr>
        <w:t xml:space="preserve"> áhættumats þótt ekki séu uppi þær aðstæður sem nefndar eru í 13. gr. laganna. Í</w:t>
      </w:r>
      <w:r w:rsidR="04E82A00">
        <w:rPr>
          <w:color w:val="242424"/>
          <w:shd w:val="clear" w:color="auto" w:fill="FFFFFF"/>
        </w:rPr>
        <w:t xml:space="preserve"> núgildandi</w:t>
      </w:r>
      <w:r w:rsidR="72259DD4">
        <w:rPr>
          <w:color w:val="242424"/>
          <w:shd w:val="clear" w:color="auto" w:fill="FFFFFF"/>
        </w:rPr>
        <w:t xml:space="preserve"> </w:t>
      </w:r>
      <w:proofErr w:type="spellStart"/>
      <w:r w:rsidR="72259DD4">
        <w:rPr>
          <w:color w:val="242424"/>
          <w:shd w:val="clear" w:color="auto" w:fill="FFFFFF"/>
        </w:rPr>
        <w:t>c-lið</w:t>
      </w:r>
      <w:proofErr w:type="spellEnd"/>
      <w:r w:rsidR="4F06E230">
        <w:rPr>
          <w:color w:val="242424"/>
          <w:shd w:val="clear" w:color="auto" w:fill="FFFFFF"/>
        </w:rPr>
        <w:t xml:space="preserve"> 1. mgr.</w:t>
      </w:r>
      <w:r w:rsidR="35FFDB02">
        <w:rPr>
          <w:color w:val="242424"/>
          <w:shd w:val="clear" w:color="auto" w:fill="FFFFFF"/>
        </w:rPr>
        <w:t xml:space="preserve"> 13. gr.</w:t>
      </w:r>
      <w:r w:rsidR="58DA7411">
        <w:rPr>
          <w:color w:val="242424"/>
          <w:shd w:val="clear" w:color="auto" w:fill="FFFFFF"/>
        </w:rPr>
        <w:t xml:space="preserve"> kemur </w:t>
      </w:r>
      <w:r w:rsidR="4F06E230">
        <w:rPr>
          <w:color w:val="242424"/>
          <w:shd w:val="clear" w:color="auto" w:fill="FFFFFF"/>
        </w:rPr>
        <w:t xml:space="preserve">hins vegar </w:t>
      </w:r>
      <w:r w:rsidR="7AA69A07">
        <w:rPr>
          <w:color w:val="242424"/>
          <w:shd w:val="clear" w:color="auto" w:fill="FFFFFF"/>
        </w:rPr>
        <w:t xml:space="preserve"> fram</w:t>
      </w:r>
      <w:r w:rsidR="4F06E230">
        <w:rPr>
          <w:color w:val="242424"/>
          <w:shd w:val="clear" w:color="auto" w:fill="FFFFFF"/>
        </w:rPr>
        <w:t xml:space="preserve"> að tilkynningarskyld</w:t>
      </w:r>
      <w:r w:rsidR="5DA7D3E6">
        <w:rPr>
          <w:color w:val="242424"/>
          <w:shd w:val="clear" w:color="auto" w:fill="FFFFFF"/>
        </w:rPr>
        <w:t>ir</w:t>
      </w:r>
      <w:r w:rsidR="4F06E230">
        <w:rPr>
          <w:color w:val="242424"/>
          <w:shd w:val="clear" w:color="auto" w:fill="FFFFFF"/>
        </w:rPr>
        <w:t xml:space="preserve"> aðil</w:t>
      </w:r>
      <w:r w:rsidR="1E7B75C5">
        <w:rPr>
          <w:color w:val="242424"/>
          <w:shd w:val="clear" w:color="auto" w:fill="FFFFFF"/>
        </w:rPr>
        <w:t>ar</w:t>
      </w:r>
      <w:r w:rsidR="4F06E230">
        <w:rPr>
          <w:color w:val="242424"/>
          <w:shd w:val="clear" w:color="auto" w:fill="FFFFFF"/>
        </w:rPr>
        <w:t xml:space="preserve"> </w:t>
      </w:r>
      <w:r w:rsidR="37166E85" w:rsidRPr="006C13FE">
        <w:rPr>
          <w:i/>
          <w:iCs/>
          <w:color w:val="242424"/>
          <w:shd w:val="clear" w:color="auto" w:fill="FFFFFF"/>
        </w:rPr>
        <w:t>skuli</w:t>
      </w:r>
      <w:r w:rsidR="4F06E230">
        <w:rPr>
          <w:color w:val="242424"/>
          <w:shd w:val="clear" w:color="auto" w:fill="FFFFFF"/>
        </w:rPr>
        <w:t xml:space="preserve"> beita aukinni áreiðanleikakönnun þegar áhættumat </w:t>
      </w:r>
      <w:r w:rsidR="4F06E230" w:rsidRPr="006C13FE">
        <w:rPr>
          <w:color w:val="242424"/>
          <w:shd w:val="clear" w:color="auto" w:fill="FFFFFF"/>
        </w:rPr>
        <w:t xml:space="preserve">gefur til kynna </w:t>
      </w:r>
      <w:r w:rsidR="4F06E230" w:rsidRPr="00E272BA">
        <w:rPr>
          <w:color w:val="242424"/>
          <w:shd w:val="clear" w:color="auto" w:fill="FFFFFF"/>
        </w:rPr>
        <w:t>m</w:t>
      </w:r>
      <w:r w:rsidR="67CE728B" w:rsidRPr="00E272BA">
        <w:rPr>
          <w:color w:val="242424"/>
          <w:shd w:val="clear" w:color="auto" w:fill="FFFFFF"/>
        </w:rPr>
        <w:t>ikla</w:t>
      </w:r>
      <w:r w:rsidR="4F06E230" w:rsidRPr="006C13FE">
        <w:rPr>
          <w:color w:val="242424"/>
          <w:shd w:val="clear" w:color="auto" w:fill="FFFFFF"/>
        </w:rPr>
        <w:t xml:space="preserve"> áhættu</w:t>
      </w:r>
      <w:r w:rsidR="618D6D54" w:rsidRPr="006C13FE">
        <w:rPr>
          <w:color w:val="242424"/>
          <w:shd w:val="clear" w:color="auto" w:fill="FFFFFF"/>
        </w:rPr>
        <w:t>.</w:t>
      </w:r>
      <w:r w:rsidR="618D6D54">
        <w:rPr>
          <w:color w:val="242424"/>
          <w:shd w:val="clear" w:color="auto" w:fill="FFFFFF"/>
        </w:rPr>
        <w:t xml:space="preserve"> </w:t>
      </w:r>
      <w:r w:rsidR="4F06E230">
        <w:rPr>
          <w:color w:val="242424"/>
          <w:shd w:val="clear" w:color="auto" w:fill="FFFFFF"/>
        </w:rPr>
        <w:t xml:space="preserve"> Að teknu tilliti til</w:t>
      </w:r>
      <w:r w:rsidR="36BB9E0F">
        <w:rPr>
          <w:color w:val="242424"/>
          <w:shd w:val="clear" w:color="auto" w:fill="FFFFFF"/>
        </w:rPr>
        <w:t xml:space="preserve"> framangreinds ósamræmis milli núgildandi 6. mgr. 10. gr. og </w:t>
      </w:r>
      <w:r w:rsidR="3D14237E">
        <w:rPr>
          <w:color w:val="242424"/>
          <w:shd w:val="clear" w:color="auto" w:fill="FFFFFF"/>
        </w:rPr>
        <w:t>c. lið</w:t>
      </w:r>
      <w:r w:rsidR="3EA4B84E">
        <w:rPr>
          <w:color w:val="242424"/>
          <w:shd w:val="clear" w:color="auto" w:fill="FFFFFF"/>
        </w:rPr>
        <w:t>ar</w:t>
      </w:r>
      <w:r w:rsidR="3D14237E">
        <w:rPr>
          <w:color w:val="242424"/>
          <w:shd w:val="clear" w:color="auto" w:fill="FFFFFF"/>
        </w:rPr>
        <w:t xml:space="preserve"> 1. mgr. 13. gr.</w:t>
      </w:r>
      <w:r w:rsidR="36BB9E0F">
        <w:rPr>
          <w:color w:val="242424"/>
          <w:shd w:val="clear" w:color="auto" w:fill="FFFFFF"/>
        </w:rPr>
        <w:t xml:space="preserve"> </w:t>
      </w:r>
      <w:r w:rsidR="4F06E230">
        <w:rPr>
          <w:color w:val="242424"/>
          <w:shd w:val="clear" w:color="auto" w:fill="FFFFFF"/>
        </w:rPr>
        <w:t>og tvöf</w:t>
      </w:r>
      <w:r w:rsidR="51618CD0">
        <w:rPr>
          <w:color w:val="242424"/>
          <w:shd w:val="clear" w:color="auto" w:fill="FFFFFF"/>
        </w:rPr>
        <w:t>aldrar</w:t>
      </w:r>
      <w:r w:rsidR="4F06E230">
        <w:rPr>
          <w:color w:val="242424"/>
          <w:shd w:val="clear" w:color="auto" w:fill="FFFFFF"/>
        </w:rPr>
        <w:t xml:space="preserve"> tilvísunar til aukinnar áreiðanleikakönnunar þegar áhættumat gefur tilefni til, er lagt til að ákvæðið verði fellt brott.</w:t>
      </w:r>
      <w:r w:rsidR="54023A2B">
        <w:rPr>
          <w:color w:val="242424"/>
          <w:shd w:val="clear" w:color="auto" w:fill="FFFFFF"/>
        </w:rPr>
        <w:t xml:space="preserve"> </w:t>
      </w:r>
    </w:p>
    <w:p w14:paraId="016A1F0A" w14:textId="77777777" w:rsidR="006C13FE" w:rsidRDefault="006C13FE" w:rsidP="00F0730D">
      <w:pPr>
        <w:jc w:val="center"/>
      </w:pPr>
    </w:p>
    <w:p w14:paraId="6CB7688D" w14:textId="0DE0BAC7" w:rsidR="00F0730D" w:rsidRPr="00E36023" w:rsidRDefault="00F0730D" w:rsidP="00F0730D">
      <w:pPr>
        <w:jc w:val="center"/>
      </w:pPr>
      <w:r>
        <w:t>Um 7</w:t>
      </w:r>
      <w:r w:rsidRPr="009A1DB7">
        <w:t>. gr.</w:t>
      </w:r>
    </w:p>
    <w:p w14:paraId="5A87E51D" w14:textId="4F823EEC" w:rsidR="00F0730D" w:rsidRDefault="055767D5" w:rsidP="00F0730D">
      <w:pPr>
        <w:rPr>
          <w:color w:val="242424"/>
          <w:shd w:val="clear" w:color="auto" w:fill="FFFFFF"/>
        </w:rPr>
      </w:pPr>
      <w:r>
        <w:rPr>
          <w:color w:val="242424"/>
          <w:shd w:val="clear" w:color="auto" w:fill="FFFFFF"/>
        </w:rPr>
        <w:t>Í sjöundu grein frumvarpsins eru lagðar til breytingar á 2. málslið 1. mgr. 11. gr. laganna. Eru þær breytingar í samræmi við þær breytingar sem lagt er til að verði gerðar á 10. gr. laganna, sbr. 6. gr. frumvarpsins. Er þannig gert ráð fyrir að þegar áreiðanleikakönnun er frestað tímabundið með stoð í 11. gr., verði ekki lengur vísað til þess að viðskiptamaður og raunverulegur eigandi þurfi þá að sanna á sér deili eins fljótt og því verður við</w:t>
      </w:r>
      <w:r w:rsidRPr="001F1545">
        <w:rPr>
          <w:color w:val="242424"/>
          <w:shd w:val="clear" w:color="auto" w:fill="FFFFFF"/>
        </w:rPr>
        <w:t xml:space="preserve"> </w:t>
      </w:r>
      <w:r w:rsidR="1BB6221E" w:rsidRPr="001F1545">
        <w:rPr>
          <w:color w:val="242424"/>
          <w:shd w:val="clear" w:color="auto" w:fill="FFFFFF"/>
        </w:rPr>
        <w:t xml:space="preserve">komið </w:t>
      </w:r>
      <w:r>
        <w:rPr>
          <w:color w:val="242424"/>
          <w:shd w:val="clear" w:color="auto" w:fill="FFFFFF"/>
        </w:rPr>
        <w:t>heldur að upplýsingar samkvæmt 1. mgr. 10. gr. skuli sannreyndar. Er það orðalag í meira samræmi við 1. málslið 1. mgr. 11. gr., og þá leiðir af tilvísun frumvarpsgreinarinnar til 1.mgr. 10. gr. laganna að sannreyna ber þær upplýsingar sem þar er gerð krafa um við könnun á áreiðanleika viðskiptamanna. Að öðru leyti þarfnast greinin ekki frekari skýringa.</w:t>
      </w:r>
    </w:p>
    <w:p w14:paraId="44B707CB" w14:textId="77777777" w:rsidR="00A00BF1" w:rsidRDefault="00A00BF1" w:rsidP="00765996">
      <w:pPr>
        <w:ind w:firstLine="0"/>
      </w:pPr>
    </w:p>
    <w:p w14:paraId="7172F4CC" w14:textId="13627F36" w:rsidR="008310C2" w:rsidRPr="00E36023" w:rsidRDefault="386AD333" w:rsidP="008310C2">
      <w:pPr>
        <w:jc w:val="center"/>
      </w:pPr>
      <w:r>
        <w:t xml:space="preserve">Um </w:t>
      </w:r>
      <w:r w:rsidR="6478E605">
        <w:t>8</w:t>
      </w:r>
      <w:r>
        <w:t>. gr.</w:t>
      </w:r>
    </w:p>
    <w:p w14:paraId="2F137AA2" w14:textId="381A2C74" w:rsidR="00CA5280" w:rsidRDefault="00CA5280" w:rsidP="00CA5280">
      <w:pPr>
        <w:rPr>
          <w:color w:val="242424"/>
          <w:shd w:val="clear" w:color="auto" w:fill="FFFFFF"/>
        </w:rPr>
      </w:pPr>
      <w:r>
        <w:rPr>
          <w:color w:val="242424"/>
          <w:shd w:val="clear" w:color="auto" w:fill="FFFFFF"/>
        </w:rPr>
        <w:t>Í áttundu grein eru lagðar til breytingar á 13. gr. laganna, sem fjallar um aukna áreiðanleikakönnun</w:t>
      </w:r>
      <w:r w:rsidR="00F0244A">
        <w:rPr>
          <w:color w:val="242424"/>
          <w:shd w:val="clear" w:color="auto" w:fill="FFFFFF"/>
        </w:rPr>
        <w:t xml:space="preserve">, en við gerð breytinganna var m.a. höfð hliðsjón af </w:t>
      </w:r>
      <w:r w:rsidR="00F0244A" w:rsidRPr="0022556D">
        <w:rPr>
          <w:color w:val="242424"/>
        </w:rPr>
        <w:t>18. gr. fjórðu peningaþvættistilskipunarinnar (2015/849/EB</w:t>
      </w:r>
      <w:r w:rsidR="00F0244A">
        <w:rPr>
          <w:color w:val="242424"/>
        </w:rPr>
        <w:t>)</w:t>
      </w:r>
      <w:r>
        <w:rPr>
          <w:color w:val="242424"/>
          <w:shd w:val="clear" w:color="auto" w:fill="FFFFFF"/>
        </w:rPr>
        <w:t xml:space="preserve">. Annars vegar eru lagðar til breytingar á 1. mgr. greinarinnar þar sem talin eru upp þau tilvik þegar tilkynningarskyldir aðilar skulu beita aukinni áreiðanleikakönnun. </w:t>
      </w:r>
    </w:p>
    <w:p w14:paraId="195456F8" w14:textId="4BEA4E32" w:rsidR="00CA5280" w:rsidRDefault="7A09CAB5" w:rsidP="00CA5280">
      <w:pPr>
        <w:rPr>
          <w:color w:val="242424"/>
          <w:shd w:val="clear" w:color="auto" w:fill="FFFFFF"/>
        </w:rPr>
      </w:pPr>
      <w:r>
        <w:rPr>
          <w:color w:val="242424"/>
          <w:shd w:val="clear" w:color="auto" w:fill="FFFFFF"/>
        </w:rPr>
        <w:t xml:space="preserve">Í fyrsta lagi eru lagðar til orðalagsbreytingar á a-lið 1. mgr. ákvæðisins sem áskilur aukna áreiðanleikakönnun þegar kemur að áhættusömum og </w:t>
      </w:r>
      <w:proofErr w:type="spellStart"/>
      <w:r>
        <w:rPr>
          <w:color w:val="242424"/>
          <w:shd w:val="clear" w:color="auto" w:fill="FFFFFF"/>
        </w:rPr>
        <w:t>ósamvinnuþýðum</w:t>
      </w:r>
      <w:proofErr w:type="spellEnd"/>
      <w:r>
        <w:rPr>
          <w:color w:val="242424"/>
          <w:shd w:val="clear" w:color="auto" w:fill="FFFFFF"/>
        </w:rPr>
        <w:t xml:space="preserve"> ríkjum. Eru þær breytingar í samræmi við þær breytingar sem lagðar eru til í 9. gr. frumvarpsins og vísast til athugasemda með þeirri </w:t>
      </w:r>
      <w:r w:rsidR="7DB39613">
        <w:rPr>
          <w:color w:val="242424"/>
          <w:shd w:val="clear" w:color="auto" w:fill="FFFFFF"/>
        </w:rPr>
        <w:t xml:space="preserve">grein </w:t>
      </w:r>
      <w:r w:rsidR="0667B8CC">
        <w:rPr>
          <w:color w:val="242424"/>
          <w:shd w:val="clear" w:color="auto" w:fill="FFFFFF"/>
        </w:rPr>
        <w:t>til</w:t>
      </w:r>
      <w:r>
        <w:rPr>
          <w:color w:val="242424"/>
          <w:shd w:val="clear" w:color="auto" w:fill="FFFFFF"/>
        </w:rPr>
        <w:t xml:space="preserve"> nánari útskýringar. Þá er bætt við stafliðinn tilvísun til 14. gr. laganna þar sem nánar er fjallað um aukna áreiðanleikakönnun viðskiptamanna með tengsl við áhættusöm ríki. Í samræmi við þær breytingar sem lagðar eru til á a-lið ákvæðisins er </w:t>
      </w:r>
      <w:proofErr w:type="spellStart"/>
      <w:r>
        <w:rPr>
          <w:color w:val="242424"/>
          <w:shd w:val="clear" w:color="auto" w:fill="FFFFFF"/>
        </w:rPr>
        <w:t>ennfremur</w:t>
      </w:r>
      <w:proofErr w:type="spellEnd"/>
      <w:r>
        <w:rPr>
          <w:color w:val="242424"/>
          <w:shd w:val="clear" w:color="auto" w:fill="FFFFFF"/>
        </w:rPr>
        <w:t xml:space="preserve"> lagt til að tilvísun til 14. gr. laganna í </w:t>
      </w:r>
      <w:proofErr w:type="spellStart"/>
      <w:r>
        <w:rPr>
          <w:color w:val="242424"/>
          <w:shd w:val="clear" w:color="auto" w:fill="FFFFFF"/>
        </w:rPr>
        <w:t>b-lið</w:t>
      </w:r>
      <w:proofErr w:type="spellEnd"/>
      <w:r>
        <w:rPr>
          <w:color w:val="242424"/>
          <w:shd w:val="clear" w:color="auto" w:fill="FFFFFF"/>
        </w:rPr>
        <w:t xml:space="preserve"> 1. mgr. 13. gr. verði felld brott.</w:t>
      </w:r>
    </w:p>
    <w:p w14:paraId="539931D3" w14:textId="2415256B" w:rsidR="00CA5280" w:rsidRDefault="7A09CAB5" w:rsidP="47A4417F">
      <w:pPr>
        <w:rPr>
          <w:color w:val="242424"/>
          <w:szCs w:val="21"/>
          <w:shd w:val="clear" w:color="auto" w:fill="FFFFFF"/>
        </w:rPr>
      </w:pPr>
      <w:r>
        <w:rPr>
          <w:color w:val="242424"/>
          <w:shd w:val="clear" w:color="auto" w:fill="FFFFFF"/>
        </w:rPr>
        <w:t xml:space="preserve">Í öðru lagi er lagt til að tilvísun til áhættumats samkvæmt 4. gr. verði felld brott úr </w:t>
      </w:r>
      <w:proofErr w:type="spellStart"/>
      <w:r>
        <w:rPr>
          <w:color w:val="242424"/>
          <w:shd w:val="clear" w:color="auto" w:fill="FFFFFF"/>
        </w:rPr>
        <w:t>c-lið</w:t>
      </w:r>
      <w:proofErr w:type="spellEnd"/>
      <w:r>
        <w:rPr>
          <w:color w:val="242424"/>
          <w:shd w:val="clear" w:color="auto" w:fill="FFFFFF"/>
        </w:rPr>
        <w:t xml:space="preserve"> 1. mgr. 13. gr. og þess í stað eingöngu vísað til áhættumats tilkynningarskylds aðila. Ákvæði 4. gr. laganna fjallar um áhættumat ríkislögreglustjóra en samkvæmt 5. gr. laganna ber tilkynningarskyldum aðilum að hafa áhættumat samkvæmt þeirri grein til hliðsjónar við gerð eigin áhættumats. Er því óþarfi að vísa sérstaklega til áhættumats ríkislögreg</w:t>
      </w:r>
      <w:r w:rsidR="2F8956BE">
        <w:rPr>
          <w:color w:val="242424"/>
          <w:shd w:val="clear" w:color="auto" w:fill="FFFFFF"/>
        </w:rPr>
        <w:t>l</w:t>
      </w:r>
      <w:r>
        <w:rPr>
          <w:color w:val="242424"/>
          <w:shd w:val="clear" w:color="auto" w:fill="FFFFFF"/>
        </w:rPr>
        <w:t xml:space="preserve">ustjóra í ákvæðinu, enda eiga tilkynningarskyldir aðilar þegar að hafa tekið tillit til þess við gerð eigin áhættumats. </w:t>
      </w:r>
      <w:r w:rsidR="0730BE39" w:rsidRPr="0022556D">
        <w:rPr>
          <w:color w:val="242424"/>
          <w:shd w:val="clear" w:color="auto" w:fill="FFFFFF"/>
        </w:rPr>
        <w:t>Þá er</w:t>
      </w:r>
      <w:r w:rsidR="01DADF90" w:rsidRPr="0022556D">
        <w:rPr>
          <w:color w:val="242424"/>
          <w:shd w:val="clear" w:color="auto" w:fill="FFFFFF"/>
        </w:rPr>
        <w:t xml:space="preserve"> einnig lagt til að</w:t>
      </w:r>
      <w:r w:rsidR="0730BE39" w:rsidRPr="0022556D">
        <w:rPr>
          <w:color w:val="242424"/>
          <w:shd w:val="clear" w:color="auto" w:fill="FFFFFF"/>
        </w:rPr>
        <w:t xml:space="preserve"> gerð </w:t>
      </w:r>
      <w:r w:rsidR="74D4A644" w:rsidRPr="0022556D">
        <w:rPr>
          <w:color w:val="242424"/>
          <w:shd w:val="clear" w:color="auto" w:fill="FFFFFF"/>
        </w:rPr>
        <w:t xml:space="preserve">verði </w:t>
      </w:r>
      <w:r w:rsidR="445A171F" w:rsidRPr="0022556D">
        <w:rPr>
          <w:color w:val="242424"/>
          <w:shd w:val="clear" w:color="auto" w:fill="FFFFFF"/>
        </w:rPr>
        <w:t xml:space="preserve">frekari </w:t>
      </w:r>
      <w:r w:rsidR="74D4A644" w:rsidRPr="0022556D">
        <w:rPr>
          <w:color w:val="242424"/>
          <w:shd w:val="clear" w:color="auto" w:fill="FFFFFF"/>
        </w:rPr>
        <w:t>br</w:t>
      </w:r>
      <w:r w:rsidR="0730BE39" w:rsidRPr="0022556D">
        <w:rPr>
          <w:color w:val="242424"/>
          <w:shd w:val="clear" w:color="auto" w:fill="FFFFFF"/>
        </w:rPr>
        <w:t xml:space="preserve">eyting á </w:t>
      </w:r>
      <w:proofErr w:type="spellStart"/>
      <w:r w:rsidR="0730BE39" w:rsidRPr="0022556D">
        <w:rPr>
          <w:color w:val="242424"/>
          <w:shd w:val="clear" w:color="auto" w:fill="FFFFFF"/>
        </w:rPr>
        <w:t>c-lið</w:t>
      </w:r>
      <w:proofErr w:type="spellEnd"/>
      <w:r w:rsidR="0730BE39" w:rsidRPr="0022556D">
        <w:rPr>
          <w:color w:val="242424"/>
          <w:shd w:val="clear" w:color="auto" w:fill="FFFFFF"/>
        </w:rPr>
        <w:t xml:space="preserve"> 1. mgr. 13. </w:t>
      </w:r>
      <w:r w:rsidR="58C5E3F5" w:rsidRPr="0022556D">
        <w:rPr>
          <w:color w:val="242424"/>
          <w:shd w:val="clear" w:color="auto" w:fill="FFFFFF"/>
        </w:rPr>
        <w:t>g</w:t>
      </w:r>
      <w:r w:rsidR="0730BE39" w:rsidRPr="0022556D">
        <w:rPr>
          <w:color w:val="242424"/>
          <w:shd w:val="clear" w:color="auto" w:fill="FFFFFF"/>
        </w:rPr>
        <w:t>r.</w:t>
      </w:r>
      <w:r w:rsidR="1940DCD3" w:rsidRPr="0022556D">
        <w:rPr>
          <w:color w:val="242424"/>
          <w:shd w:val="clear" w:color="auto" w:fill="FFFFFF"/>
        </w:rPr>
        <w:t xml:space="preserve"> </w:t>
      </w:r>
      <w:r w:rsidR="0022556D" w:rsidRPr="0022556D">
        <w:rPr>
          <w:color w:val="242424"/>
          <w:shd w:val="clear" w:color="auto" w:fill="FFFFFF"/>
        </w:rPr>
        <w:t>og lagt</w:t>
      </w:r>
      <w:r w:rsidR="459AEB77" w:rsidRPr="0022556D">
        <w:rPr>
          <w:color w:val="242424"/>
          <w:shd w:val="clear" w:color="auto" w:fill="FFFFFF"/>
        </w:rPr>
        <w:t xml:space="preserve"> </w:t>
      </w:r>
      <w:r w:rsidR="01194851" w:rsidRPr="0022556D">
        <w:rPr>
          <w:color w:val="242424"/>
          <w:shd w:val="clear" w:color="auto" w:fill="FFFFFF"/>
        </w:rPr>
        <w:t>til að</w:t>
      </w:r>
      <w:r w:rsidR="5BEAD885" w:rsidRPr="0022556D">
        <w:rPr>
          <w:color w:val="242424"/>
          <w:shd w:val="clear" w:color="auto" w:fill="FFFFFF"/>
        </w:rPr>
        <w:t xml:space="preserve"> í stað</w:t>
      </w:r>
      <w:r w:rsidR="1F4BF044" w:rsidRPr="0022556D">
        <w:rPr>
          <w:color w:val="242424"/>
          <w:shd w:val="clear" w:color="auto" w:fill="FFFFFF"/>
        </w:rPr>
        <w:t xml:space="preserve"> </w:t>
      </w:r>
      <w:r w:rsidR="1B40F54A" w:rsidRPr="0022556D">
        <w:rPr>
          <w:color w:val="242424"/>
          <w:shd w:val="clear" w:color="auto" w:fill="FFFFFF"/>
        </w:rPr>
        <w:t>þess að nota hugtakið</w:t>
      </w:r>
      <w:r w:rsidR="0022556D">
        <w:rPr>
          <w:color w:val="242424"/>
          <w:shd w:val="clear" w:color="auto" w:fill="FFFFFF"/>
        </w:rPr>
        <w:t xml:space="preserve"> </w:t>
      </w:r>
      <w:r w:rsidR="1F4BF044" w:rsidRPr="0022556D">
        <w:rPr>
          <w:color w:val="242424"/>
          <w:shd w:val="clear" w:color="auto" w:fill="FFFFFF"/>
        </w:rPr>
        <w:t>“</w:t>
      </w:r>
      <w:r w:rsidR="01194851" w:rsidRPr="0022556D">
        <w:rPr>
          <w:i/>
          <w:iCs/>
          <w:color w:val="242424"/>
          <w:shd w:val="clear" w:color="auto" w:fill="FFFFFF"/>
        </w:rPr>
        <w:t>mikla</w:t>
      </w:r>
      <w:r w:rsidR="51C21784" w:rsidRPr="0022556D">
        <w:rPr>
          <w:i/>
          <w:iCs/>
          <w:color w:val="242424"/>
          <w:shd w:val="clear" w:color="auto" w:fill="FFFFFF"/>
        </w:rPr>
        <w:t>”</w:t>
      </w:r>
      <w:r w:rsidR="01194851" w:rsidRPr="0022556D">
        <w:rPr>
          <w:color w:val="242424"/>
          <w:shd w:val="clear" w:color="auto" w:fill="FFFFFF"/>
        </w:rPr>
        <w:t xml:space="preserve"> áhættu</w:t>
      </w:r>
      <w:r w:rsidR="3B3D4B1E" w:rsidRPr="0022556D">
        <w:rPr>
          <w:color w:val="242424"/>
          <w:shd w:val="clear" w:color="auto" w:fill="FFFFFF"/>
        </w:rPr>
        <w:t xml:space="preserve"> </w:t>
      </w:r>
      <w:r w:rsidR="0591EBC8" w:rsidRPr="0022556D">
        <w:rPr>
          <w:color w:val="242424"/>
          <w:shd w:val="clear" w:color="auto" w:fill="FFFFFF"/>
        </w:rPr>
        <w:t xml:space="preserve">sé notað hugtakið </w:t>
      </w:r>
      <w:r w:rsidR="436F3F76" w:rsidRPr="0022556D">
        <w:rPr>
          <w:color w:val="242424"/>
          <w:shd w:val="clear" w:color="auto" w:fill="FFFFFF"/>
        </w:rPr>
        <w:t>“</w:t>
      </w:r>
      <w:r w:rsidR="01194851" w:rsidRPr="0022556D">
        <w:rPr>
          <w:i/>
          <w:iCs/>
          <w:color w:val="242424"/>
          <w:shd w:val="clear" w:color="auto" w:fill="FFFFFF"/>
        </w:rPr>
        <w:t>meiri</w:t>
      </w:r>
      <w:r w:rsidR="4409EFB3" w:rsidRPr="0022556D">
        <w:rPr>
          <w:i/>
          <w:iCs/>
          <w:color w:val="242424"/>
          <w:shd w:val="clear" w:color="auto" w:fill="FFFFFF"/>
        </w:rPr>
        <w:t xml:space="preserve">” </w:t>
      </w:r>
      <w:r w:rsidR="01194851" w:rsidRPr="0022556D">
        <w:rPr>
          <w:color w:val="242424"/>
          <w:shd w:val="clear" w:color="auto" w:fill="FFFFFF"/>
        </w:rPr>
        <w:t xml:space="preserve">áhættu og er það í samræmi við </w:t>
      </w:r>
      <w:r w:rsidR="5CB44DB2" w:rsidRPr="0022556D">
        <w:rPr>
          <w:color w:val="242424"/>
        </w:rPr>
        <w:t>1. mgr. 18. gr. fjórðu peningaþvættistilskipunarinnar (2015/849/EB).</w:t>
      </w:r>
    </w:p>
    <w:p w14:paraId="37193B4D" w14:textId="5A4942A0" w:rsidR="00CA5280" w:rsidRDefault="7A09CAB5" w:rsidP="00CA5280">
      <w:pPr>
        <w:rPr>
          <w:color w:val="242424"/>
          <w:shd w:val="clear" w:color="auto" w:fill="FFFFFF"/>
        </w:rPr>
      </w:pPr>
      <w:bookmarkStart w:id="24" w:name="_Hlk95812244"/>
      <w:r>
        <w:rPr>
          <w:color w:val="242424"/>
          <w:shd w:val="clear" w:color="auto" w:fill="FFFFFF"/>
        </w:rPr>
        <w:t xml:space="preserve">Í þriðja lagi er lagt til að nýjum staflið verði bætt við ákvæðið, staflið d., sem áskilur að aukinni áreiðanleikakönnun sé beitt þegar áhætta telst að öðru leyti meiri. Er ákvæðinu ætlað að taka tillit til tilvika sem ekki falla undir aðra </w:t>
      </w:r>
      <w:proofErr w:type="spellStart"/>
      <w:r>
        <w:rPr>
          <w:color w:val="242424"/>
          <w:shd w:val="clear" w:color="auto" w:fill="FFFFFF"/>
        </w:rPr>
        <w:t>stafliði</w:t>
      </w:r>
      <w:proofErr w:type="spellEnd"/>
      <w:r>
        <w:rPr>
          <w:color w:val="242424"/>
          <w:shd w:val="clear" w:color="auto" w:fill="FFFFFF"/>
        </w:rPr>
        <w:t xml:space="preserve"> ákvæðisins en gefa engu að síður til </w:t>
      </w:r>
      <w:r>
        <w:rPr>
          <w:color w:val="242424"/>
          <w:shd w:val="clear" w:color="auto" w:fill="FFFFFF"/>
        </w:rPr>
        <w:lastRenderedPageBreak/>
        <w:t>kynna meiri áhættu og kalla þar af leiðandi á að aukin áreiðanleikakönnun sé framkvæmd. Má hér sem dæmi nefna ef upp kæmi sú staða að opinberir aðilar vara við viðskiptum við aðila í tilteknu ríki eða upp koma einhver slík atvik varðandi viðskiptamann að þau gefa tilefni til að beita aukinni áreiðanleikakönnun.</w:t>
      </w:r>
    </w:p>
    <w:bookmarkEnd w:id="24"/>
    <w:p w14:paraId="5E04D608" w14:textId="5FFC4D12" w:rsidR="00CA5280" w:rsidRPr="00B20B7C" w:rsidRDefault="651AF229" w:rsidP="00CA5280">
      <w:pPr>
        <w:rPr>
          <w:color w:val="242424"/>
          <w:shd w:val="clear" w:color="auto" w:fill="FFFFFF"/>
        </w:rPr>
      </w:pPr>
      <w:r>
        <w:rPr>
          <w:color w:val="242424"/>
          <w:shd w:val="clear" w:color="auto" w:fill="FFFFFF"/>
        </w:rPr>
        <w:t>Hins</w:t>
      </w:r>
      <w:r w:rsidR="0022556D">
        <w:rPr>
          <w:color w:val="242424"/>
          <w:shd w:val="clear" w:color="auto" w:fill="FFFFFF"/>
        </w:rPr>
        <w:t xml:space="preserve"> </w:t>
      </w:r>
      <w:r>
        <w:rPr>
          <w:color w:val="242424"/>
          <w:shd w:val="clear" w:color="auto" w:fill="FFFFFF"/>
        </w:rPr>
        <w:t>vegar</w:t>
      </w:r>
      <w:r w:rsidR="7A09CAB5">
        <w:rPr>
          <w:color w:val="242424"/>
          <w:shd w:val="clear" w:color="auto" w:fill="FFFFFF"/>
        </w:rPr>
        <w:t xml:space="preserve"> er lagt til að 2. mgr. 13. gr. laganna verði færð neðst í ákvæðið og í hennar stað komi ný málsgrein sem fjallar um hvað felst í aukinni áreiðanleikakönnun. Í lögunum er gert ráð fyrir þrenns konar áreiðanleikakönnun, þ.e. það sem kalla má almenna eða hefðbundna áreiðanleikakönnun samkvæmt 10. gr., einfalda áreiðanleikakönnun samkvæmt 12. gr. og aukna áreiðanleikakönnun samkvæmt 13. gr. Í síðast</w:t>
      </w:r>
      <w:r w:rsidR="74531DFE">
        <w:rPr>
          <w:color w:val="242424"/>
          <w:shd w:val="clear" w:color="auto" w:fill="FFFFFF"/>
        </w:rPr>
        <w:t xml:space="preserve"> </w:t>
      </w:r>
      <w:r w:rsidR="7A09CAB5">
        <w:rPr>
          <w:color w:val="242424"/>
          <w:shd w:val="clear" w:color="auto" w:fill="FFFFFF"/>
        </w:rPr>
        <w:t xml:space="preserve">greinda ákvæðinu er </w:t>
      </w:r>
      <w:r w:rsidR="5F5DCE79">
        <w:rPr>
          <w:color w:val="242424"/>
          <w:shd w:val="clear" w:color="auto" w:fill="FFFFFF"/>
        </w:rPr>
        <w:t xml:space="preserve">aftur á móti </w:t>
      </w:r>
      <w:r w:rsidR="7A09CAB5">
        <w:rPr>
          <w:color w:val="242424"/>
          <w:shd w:val="clear" w:color="auto" w:fill="FFFFFF"/>
        </w:rPr>
        <w:t>ekki að finna umfjöllun um það hvað felist í aukinni áreiðanleikakönnun. Þótt nánar sé fjallað um þá þætti sem koma til skoðunar við aukna áreiðanleikakönnun í þeim tilvikum sem fram koma í 14. – 17. gr. laganna, þá eru þau ákvæði ekki tæmandi um þau tilvik þar sem beita ber aukinni áreiðanleikakönnun, sbr. meðal annars framangreinda umfjöllun um þær breytingar sem lagðar eru á 1. mgr. ákvæðisins. Til skýringar er því lagt til að í 2. mgr. 13. gr. verði fjallað almennt um hvað felst í aukinni áreiðanleikakönnun.</w:t>
      </w:r>
    </w:p>
    <w:p w14:paraId="6A4CFAFF" w14:textId="2645EDCB" w:rsidR="008310C2" w:rsidRDefault="008310C2" w:rsidP="0088120D">
      <w:pPr>
        <w:ind w:firstLine="0"/>
        <w:rPr>
          <w:color w:val="242424"/>
          <w:shd w:val="clear" w:color="auto" w:fill="FFFFFF"/>
        </w:rPr>
      </w:pPr>
    </w:p>
    <w:p w14:paraId="6175E627" w14:textId="5390E2EB" w:rsidR="008310C2" w:rsidRPr="00E36023" w:rsidRDefault="008310C2" w:rsidP="008310C2">
      <w:pPr>
        <w:jc w:val="center"/>
      </w:pPr>
      <w:r>
        <w:t xml:space="preserve">Um </w:t>
      </w:r>
      <w:r w:rsidR="00D36564">
        <w:t>9</w:t>
      </w:r>
      <w:r w:rsidRPr="009A1DB7">
        <w:t>. gr.</w:t>
      </w:r>
    </w:p>
    <w:p w14:paraId="5F3F293F" w14:textId="3C1F5CCD" w:rsidR="00CA5280" w:rsidRDefault="008310C2" w:rsidP="00BD2C89">
      <w:pPr>
        <w:ind w:firstLine="0"/>
        <w:rPr>
          <w:color w:val="242424"/>
          <w:shd w:val="clear" w:color="auto" w:fill="FFFFFF"/>
        </w:rPr>
      </w:pPr>
      <w:r>
        <w:rPr>
          <w:color w:val="242424"/>
          <w:shd w:val="clear" w:color="auto" w:fill="FFFFFF"/>
        </w:rPr>
        <w:tab/>
      </w:r>
      <w:r w:rsidR="386AD333">
        <w:rPr>
          <w:color w:val="242424"/>
          <w:shd w:val="clear" w:color="auto" w:fill="FFFFFF"/>
        </w:rPr>
        <w:t xml:space="preserve"> </w:t>
      </w:r>
      <w:r w:rsidR="7A09CAB5">
        <w:rPr>
          <w:color w:val="242424"/>
          <w:shd w:val="clear" w:color="auto" w:fill="FFFFFF"/>
        </w:rPr>
        <w:t xml:space="preserve">Í 1. mgr. 14. gr. er kveðið á um að tilkynningarskyldir aðilar skuli framkvæma aukna áreiðanleikakönnun þegar um er að ræða </w:t>
      </w:r>
      <w:r w:rsidR="7A09CAB5" w:rsidRPr="001D544D">
        <w:rPr>
          <w:color w:val="242424"/>
          <w:shd w:val="clear" w:color="auto" w:fill="FFFFFF"/>
        </w:rPr>
        <w:t xml:space="preserve">viðskipti eða samningssamband við einstakling, lögaðila, fjárvörslusjóði eða aðra sambærilega aðila sem eru búsettir eða með staðfestu í áhættusömu eða ósamvinnuþýðu ríki </w:t>
      </w:r>
      <w:r w:rsidR="7A09CAB5">
        <w:rPr>
          <w:color w:val="242424"/>
          <w:shd w:val="clear" w:color="auto" w:fill="FFFFFF"/>
        </w:rPr>
        <w:t>samkvæmt</w:t>
      </w:r>
      <w:r w:rsidR="7A09CAB5" w:rsidRPr="001D544D">
        <w:rPr>
          <w:color w:val="242424"/>
          <w:shd w:val="clear" w:color="auto" w:fill="FFFFFF"/>
        </w:rPr>
        <w:t xml:space="preserve"> 6. gr.</w:t>
      </w:r>
      <w:r w:rsidR="7A09CAB5">
        <w:rPr>
          <w:color w:val="242424"/>
          <w:shd w:val="clear" w:color="auto" w:fill="FFFFFF"/>
        </w:rPr>
        <w:t xml:space="preserve"> laganna</w:t>
      </w:r>
      <w:r w:rsidR="7A09CAB5" w:rsidRPr="001D544D">
        <w:rPr>
          <w:color w:val="242424"/>
          <w:shd w:val="clear" w:color="auto" w:fill="FFFFFF"/>
        </w:rPr>
        <w:t xml:space="preserve"> eða reglugerð um áhættusöm ríki</w:t>
      </w:r>
      <w:r w:rsidR="7A09CAB5">
        <w:rPr>
          <w:color w:val="242424"/>
          <w:shd w:val="clear" w:color="auto" w:fill="FFFFFF"/>
        </w:rPr>
        <w:t xml:space="preserve"> samkvæmt </w:t>
      </w:r>
      <w:r w:rsidR="7A09CAB5" w:rsidRPr="001D544D">
        <w:rPr>
          <w:color w:val="242424"/>
          <w:shd w:val="clear" w:color="auto" w:fill="FFFFFF"/>
        </w:rPr>
        <w:t>56. gr.</w:t>
      </w:r>
      <w:r w:rsidR="7A09CAB5">
        <w:rPr>
          <w:color w:val="242424"/>
          <w:shd w:val="clear" w:color="auto" w:fill="FFFFFF"/>
        </w:rPr>
        <w:t xml:space="preserve"> </w:t>
      </w:r>
    </w:p>
    <w:p w14:paraId="151E2D7B" w14:textId="54ED2A71" w:rsidR="00CA5280" w:rsidRDefault="7A09CAB5" w:rsidP="00CA5280">
      <w:pPr>
        <w:rPr>
          <w:color w:val="242424"/>
          <w:shd w:val="clear" w:color="auto" w:fill="FFFFFF"/>
        </w:rPr>
      </w:pPr>
      <w:r>
        <w:rPr>
          <w:color w:val="242424"/>
          <w:shd w:val="clear" w:color="auto" w:fill="FFFFFF"/>
        </w:rPr>
        <w:t xml:space="preserve">Í 1. mgr. 18. gr. fjórðu peningaþvættistilskipunarinnar </w:t>
      </w:r>
      <w:r w:rsidRPr="004F4144">
        <w:rPr>
          <w:color w:val="242424"/>
          <w:shd w:val="clear" w:color="auto" w:fill="FFFFFF"/>
        </w:rPr>
        <w:t>(2015/849/EB)</w:t>
      </w:r>
      <w:r>
        <w:rPr>
          <w:color w:val="242424"/>
          <w:shd w:val="clear" w:color="auto" w:fill="FFFFFF"/>
        </w:rPr>
        <w:t>, sem innlei</w:t>
      </w:r>
      <w:r w:rsidR="640AB07E">
        <w:rPr>
          <w:color w:val="242424"/>
          <w:shd w:val="clear" w:color="auto" w:fill="FFFFFF"/>
        </w:rPr>
        <w:t>dd</w:t>
      </w:r>
      <w:r>
        <w:rPr>
          <w:color w:val="242424"/>
          <w:shd w:val="clear" w:color="auto" w:fill="FFFFFF"/>
        </w:rPr>
        <w:t xml:space="preserve"> var með 1. mgr. 14. gr. laganna, sbr. hér einkum a-lið greinarinnar, er kveðið á um að þegar kemur að einstaklingum og lögaðilum sem staðsettir eru í áhættusömum þriðju ríkjum skuli beita aukinni áreiðanleikakönnun:</w:t>
      </w:r>
    </w:p>
    <w:p w14:paraId="41C3881F" w14:textId="77777777" w:rsidR="00CA5280" w:rsidRDefault="00CA5280" w:rsidP="00CA5280">
      <w:pPr>
        <w:rPr>
          <w:color w:val="242424"/>
          <w:shd w:val="clear" w:color="auto" w:fill="FFFFFF"/>
        </w:rPr>
      </w:pPr>
      <w:r>
        <w:rPr>
          <w:color w:val="242424"/>
          <w:shd w:val="clear" w:color="auto" w:fill="FFFFFF"/>
        </w:rPr>
        <w:t>„</w:t>
      </w:r>
      <w:r w:rsidRPr="00744D8F">
        <w:rPr>
          <w:color w:val="242424"/>
          <w:shd w:val="clear" w:color="auto" w:fill="FFFFFF"/>
          <w:lang w:val="en-GB"/>
        </w:rPr>
        <w:t>[…]</w:t>
      </w:r>
      <w:r w:rsidRPr="004F4144">
        <w:rPr>
          <w:i/>
          <w:iCs/>
          <w:color w:val="242424"/>
          <w:shd w:val="clear" w:color="auto" w:fill="FFFFFF"/>
          <w:lang w:val="en-GB"/>
        </w:rPr>
        <w:t xml:space="preserve"> when dealing with natural persons or legal entities established in the third countries identified by the Commission as high-risk third countries, as well as in other cases of higher risk that are identified by Member States or obliged entities, Member States shall require obliged entities to apply enhanced customer due diligence measures to manage and mitigate those risks appropriately</w:t>
      </w:r>
      <w:r w:rsidRPr="004F4144">
        <w:rPr>
          <w:color w:val="242424"/>
          <w:shd w:val="clear" w:color="auto" w:fill="FFFFFF"/>
          <w:lang w:val="en-GB"/>
        </w:rPr>
        <w:t>.</w:t>
      </w:r>
      <w:r>
        <w:rPr>
          <w:color w:val="242424"/>
          <w:shd w:val="clear" w:color="auto" w:fill="FFFFFF"/>
        </w:rPr>
        <w:t>“</w:t>
      </w:r>
    </w:p>
    <w:p w14:paraId="0549EF32" w14:textId="77777777" w:rsidR="00CA5280" w:rsidRDefault="00CA5280" w:rsidP="00CA5280">
      <w:pPr>
        <w:rPr>
          <w:color w:val="242424"/>
          <w:shd w:val="clear" w:color="auto" w:fill="FFFFFF"/>
        </w:rPr>
      </w:pPr>
      <w:r>
        <w:rPr>
          <w:color w:val="242424"/>
          <w:shd w:val="clear" w:color="auto" w:fill="FFFFFF"/>
        </w:rPr>
        <w:t xml:space="preserve">Þá er tekið fram í fororðum tilskipunarinnar að aukinni áreiðanleikakönnun skuli að lágmarki beitt í slíkum tilvikum. </w:t>
      </w:r>
    </w:p>
    <w:p w14:paraId="006A1427" w14:textId="4A4D7A90" w:rsidR="00CA5280" w:rsidRDefault="7A09CAB5" w:rsidP="00CA5280">
      <w:pPr>
        <w:rPr>
          <w:color w:val="242424"/>
          <w:shd w:val="clear" w:color="auto" w:fill="FFFFFF"/>
        </w:rPr>
      </w:pPr>
      <w:r>
        <w:rPr>
          <w:color w:val="242424"/>
          <w:shd w:val="clear" w:color="auto" w:fill="FFFFFF"/>
        </w:rPr>
        <w:t>Með tilkomu fimmtu peningaþvættistilskipunarinnar (</w:t>
      </w:r>
      <w:r w:rsidRPr="00071298">
        <w:rPr>
          <w:color w:val="242424"/>
          <w:shd w:val="clear" w:color="auto" w:fill="FFFFFF"/>
        </w:rPr>
        <w:t>2018/843/EB</w:t>
      </w:r>
      <w:r>
        <w:rPr>
          <w:color w:val="242424"/>
          <w:shd w:val="clear" w:color="auto" w:fill="FFFFFF"/>
        </w:rPr>
        <w:t xml:space="preserve">) var </w:t>
      </w:r>
      <w:r w:rsidR="4D9F6858">
        <w:rPr>
          <w:color w:val="242424"/>
          <w:shd w:val="clear" w:color="auto" w:fill="FFFFFF"/>
        </w:rPr>
        <w:t xml:space="preserve">aftur á móti </w:t>
      </w:r>
      <w:r>
        <w:rPr>
          <w:color w:val="242424"/>
          <w:shd w:val="clear" w:color="auto" w:fill="FFFFFF"/>
        </w:rPr>
        <w:t xml:space="preserve">bætt við nýju ákvæði, ákvæði 18. gr. a, þar sem nánar er kveðið á um þá efnisþætti sem ber að beita við aukna áreiðanleikakönnun þegar kemur að áhættusömum og </w:t>
      </w:r>
      <w:proofErr w:type="spellStart"/>
      <w:r>
        <w:rPr>
          <w:color w:val="242424"/>
          <w:shd w:val="clear" w:color="auto" w:fill="FFFFFF"/>
        </w:rPr>
        <w:t>ósamvinnuþýðum</w:t>
      </w:r>
      <w:proofErr w:type="spellEnd"/>
      <w:r>
        <w:rPr>
          <w:color w:val="242424"/>
          <w:shd w:val="clear" w:color="auto" w:fill="FFFFFF"/>
        </w:rPr>
        <w:t xml:space="preserve"> ríkjum, en 1. mgr. ákvæðisins er svohljóðandi:</w:t>
      </w:r>
    </w:p>
    <w:p w14:paraId="0093DE7C" w14:textId="77777777" w:rsidR="00CA5280" w:rsidRDefault="7A09CAB5" w:rsidP="00CA5280">
      <w:pPr>
        <w:rPr>
          <w:color w:val="242424"/>
          <w:shd w:val="clear" w:color="auto" w:fill="FFFFFF"/>
        </w:rPr>
      </w:pPr>
      <w:r>
        <w:rPr>
          <w:color w:val="242424"/>
          <w:shd w:val="clear" w:color="auto" w:fill="FFFFFF"/>
        </w:rPr>
        <w:t>„</w:t>
      </w:r>
      <w:r w:rsidRPr="47A4417F">
        <w:rPr>
          <w:i/>
          <w:iCs/>
          <w:color w:val="242424"/>
          <w:shd w:val="clear" w:color="auto" w:fill="FFFFFF"/>
          <w:lang w:val="en-GB"/>
        </w:rPr>
        <w:t>With respect to business relationships or transactions involving high-risk third countries identified pursuant to Article 9(2), Member States shall require obliged entities to apply the following enhanced customer due diligence measures</w:t>
      </w:r>
      <w:r>
        <w:rPr>
          <w:color w:val="242424"/>
          <w:shd w:val="clear" w:color="auto" w:fill="FFFFFF"/>
        </w:rPr>
        <w:t>“.</w:t>
      </w:r>
    </w:p>
    <w:p w14:paraId="2D2446F6" w14:textId="3CB2DF89" w:rsidR="00F3664E" w:rsidRDefault="7A09CAB5" w:rsidP="00A00BF1">
      <w:pPr>
        <w:rPr>
          <w:color w:val="242424"/>
          <w:shd w:val="clear" w:color="auto" w:fill="FFFFFF"/>
        </w:rPr>
      </w:pPr>
      <w:r>
        <w:rPr>
          <w:color w:val="242424"/>
          <w:shd w:val="clear" w:color="auto" w:fill="FFFFFF"/>
        </w:rPr>
        <w:t xml:space="preserve">Í ákvæðinu er því ekki vísað til einstaklinga og lögaðila eins og í framangreindu ákvæði fjórðu peningaþvættistilskipunarinnar heldur samningssambanda og viðskipta og þá er ekki vísað til búsetu eða staðfestu slíkra aðila í áhættusömum og </w:t>
      </w:r>
      <w:proofErr w:type="spellStart"/>
      <w:r>
        <w:rPr>
          <w:color w:val="242424"/>
          <w:shd w:val="clear" w:color="auto" w:fill="FFFFFF"/>
        </w:rPr>
        <w:t>ósamvinnuþýðum</w:t>
      </w:r>
      <w:proofErr w:type="spellEnd"/>
      <w:r>
        <w:rPr>
          <w:color w:val="242424"/>
          <w:shd w:val="clear" w:color="auto" w:fill="FFFFFF"/>
        </w:rPr>
        <w:t xml:space="preserve"> ríkjum, heldur tengsla við slík ríki. Með hliðsjón af þessu orðalagi 18. gr. a fimmtu peningaþvættistilskipunarinnar (</w:t>
      </w:r>
      <w:r w:rsidRPr="00071298">
        <w:rPr>
          <w:color w:val="242424"/>
          <w:shd w:val="clear" w:color="auto" w:fill="FFFFFF"/>
        </w:rPr>
        <w:t>2018/843/EB</w:t>
      </w:r>
      <w:r>
        <w:rPr>
          <w:color w:val="242424"/>
          <w:shd w:val="clear" w:color="auto" w:fill="FFFFFF"/>
        </w:rPr>
        <w:t>) þykir því rétt að leggja</w:t>
      </w:r>
      <w:r w:rsidRPr="00D40ACE">
        <w:rPr>
          <w:color w:val="242424"/>
          <w:shd w:val="clear" w:color="auto" w:fill="FFFFFF"/>
        </w:rPr>
        <w:t xml:space="preserve"> til að </w:t>
      </w:r>
      <w:r>
        <w:rPr>
          <w:color w:val="242424"/>
          <w:shd w:val="clear" w:color="auto" w:fill="FFFFFF"/>
        </w:rPr>
        <w:t>ákvæði 1. mgr. 14. gr.</w:t>
      </w:r>
      <w:r w:rsidRPr="00D40ACE">
        <w:rPr>
          <w:color w:val="242424"/>
          <w:shd w:val="clear" w:color="auto" w:fill="FFFFFF"/>
        </w:rPr>
        <w:t xml:space="preserve"> verði breytt á þann veg að</w:t>
      </w:r>
      <w:r>
        <w:rPr>
          <w:color w:val="242424"/>
          <w:shd w:val="clear" w:color="auto" w:fill="FFFFFF"/>
        </w:rPr>
        <w:t xml:space="preserve"> þar verði</w:t>
      </w:r>
      <w:r w:rsidRPr="00D40ACE">
        <w:rPr>
          <w:color w:val="242424"/>
          <w:shd w:val="clear" w:color="auto" w:fill="FFFFFF"/>
        </w:rPr>
        <w:t xml:space="preserve"> hvorki vísað til þeirra aðila sem nú eru taldir upp í ákvæðinu né búsetu eða staðfestu þeirra í áhættusömu eða ósamvinnuþýðu ríki, heldur </w:t>
      </w:r>
      <w:r w:rsidRPr="00D40ACE">
        <w:rPr>
          <w:color w:val="242424"/>
          <w:shd w:val="clear" w:color="auto" w:fill="FFFFFF"/>
        </w:rPr>
        <w:lastRenderedPageBreak/>
        <w:t>einungis viðskipta eða samningssambands með tengsl við slík ríki.</w:t>
      </w:r>
      <w:r>
        <w:rPr>
          <w:color w:val="242424"/>
          <w:shd w:val="clear" w:color="auto" w:fill="FFFFFF"/>
        </w:rPr>
        <w:t xml:space="preserve"> Af því leiðir að tilkynningarskyldir aðilar geti ekki látið við það sitja að framkvæma aukna áreiðanleikakönnun þegar um er að ræða samningssamband eða viðskipti við aðila sem hafa búsetu eða staðfestu í áhættusömum ríkjum, </w:t>
      </w:r>
      <w:bookmarkStart w:id="25" w:name="_Hlk95812298"/>
      <w:r>
        <w:rPr>
          <w:color w:val="242424"/>
          <w:shd w:val="clear" w:color="auto" w:fill="FFFFFF"/>
        </w:rPr>
        <w:t>heldur kunna önnur tengsl viðskipta eða samningssambands við slík ríki að kalla á að aukin áreiðanleikakönnun sé framkvæmd.</w:t>
      </w:r>
      <w:r w:rsidR="035C2170">
        <w:rPr>
          <w:color w:val="242424"/>
          <w:shd w:val="clear" w:color="auto" w:fill="FFFFFF"/>
        </w:rPr>
        <w:t xml:space="preserve"> Sem dæmi </w:t>
      </w:r>
      <w:r w:rsidR="58D98685">
        <w:rPr>
          <w:color w:val="242424"/>
          <w:shd w:val="clear" w:color="auto" w:fill="FFFFFF"/>
        </w:rPr>
        <w:t xml:space="preserve">um slík tengsl </w:t>
      </w:r>
      <w:r w:rsidR="035C2170">
        <w:rPr>
          <w:color w:val="242424"/>
          <w:shd w:val="clear" w:color="auto" w:fill="FFFFFF"/>
        </w:rPr>
        <w:t xml:space="preserve">má nefna þegar fjármunir verða til, koma frá </w:t>
      </w:r>
      <w:r w:rsidR="1FB88672">
        <w:rPr>
          <w:color w:val="242424"/>
          <w:shd w:val="clear" w:color="auto" w:fill="FFFFFF"/>
        </w:rPr>
        <w:t xml:space="preserve"> eða eru sendir til áhættusams ríkis</w:t>
      </w:r>
      <w:r w:rsidR="008D3733">
        <w:rPr>
          <w:color w:val="242424"/>
          <w:shd w:val="clear" w:color="auto" w:fill="FFFFFF"/>
        </w:rPr>
        <w:t>.</w:t>
      </w:r>
    </w:p>
    <w:p w14:paraId="101B7FA5" w14:textId="09FCA1BB" w:rsidR="008310C2" w:rsidRDefault="008310C2" w:rsidP="0088120D">
      <w:pPr>
        <w:ind w:firstLine="0"/>
        <w:rPr>
          <w:color w:val="242424"/>
          <w:shd w:val="clear" w:color="auto" w:fill="FFFFFF"/>
        </w:rPr>
      </w:pPr>
    </w:p>
    <w:bookmarkEnd w:id="25"/>
    <w:p w14:paraId="5E139762" w14:textId="59600AA6" w:rsidR="00D36564" w:rsidRPr="00E36023" w:rsidRDefault="00D36564" w:rsidP="00D36564">
      <w:pPr>
        <w:jc w:val="center"/>
      </w:pPr>
      <w:r>
        <w:t>Um 10</w:t>
      </w:r>
      <w:r w:rsidRPr="009A1DB7">
        <w:t>. gr.</w:t>
      </w:r>
    </w:p>
    <w:p w14:paraId="3B846772" w14:textId="46DB94BF" w:rsidR="00CA5280" w:rsidRDefault="00CA5280" w:rsidP="00CA5280">
      <w:pPr>
        <w:rPr>
          <w:color w:val="242424"/>
          <w:shd w:val="clear" w:color="auto" w:fill="FFFFFF"/>
        </w:rPr>
      </w:pPr>
      <w:r>
        <w:rPr>
          <w:color w:val="242424"/>
          <w:shd w:val="clear" w:color="auto" w:fill="FFFFFF"/>
        </w:rPr>
        <w:t xml:space="preserve">Í ákvæðinu er lögð til leiðrétting á </w:t>
      </w:r>
      <w:proofErr w:type="spellStart"/>
      <w:r>
        <w:rPr>
          <w:color w:val="242424"/>
          <w:shd w:val="clear" w:color="auto" w:fill="FFFFFF"/>
        </w:rPr>
        <w:t>misritun</w:t>
      </w:r>
      <w:proofErr w:type="spellEnd"/>
      <w:r>
        <w:rPr>
          <w:color w:val="242424"/>
          <w:shd w:val="clear" w:color="auto" w:fill="FFFFFF"/>
        </w:rPr>
        <w:t xml:space="preserve">. Að öðru leyti þarfnast </w:t>
      </w:r>
      <w:r w:rsidR="006B013F">
        <w:rPr>
          <w:color w:val="242424"/>
          <w:shd w:val="clear" w:color="auto" w:fill="FFFFFF"/>
        </w:rPr>
        <w:t>ákvæðið</w:t>
      </w:r>
      <w:r>
        <w:rPr>
          <w:color w:val="242424"/>
          <w:shd w:val="clear" w:color="auto" w:fill="FFFFFF"/>
        </w:rPr>
        <w:t xml:space="preserve"> ekki frekari skýringa.</w:t>
      </w:r>
    </w:p>
    <w:p w14:paraId="1D35BD91" w14:textId="77777777" w:rsidR="00BD2C89" w:rsidRDefault="00BD2C89" w:rsidP="00CA5280">
      <w:pPr>
        <w:rPr>
          <w:color w:val="242424"/>
          <w:shd w:val="clear" w:color="auto" w:fill="FFFFFF"/>
        </w:rPr>
      </w:pPr>
    </w:p>
    <w:p w14:paraId="6CAB6675" w14:textId="754A43BF" w:rsidR="00D36564" w:rsidRPr="00E36023" w:rsidRDefault="00D36564" w:rsidP="00D36564">
      <w:pPr>
        <w:jc w:val="center"/>
      </w:pPr>
      <w:r>
        <w:t>Um 11</w:t>
      </w:r>
      <w:r w:rsidRPr="009A1DB7">
        <w:t xml:space="preserve">. </w:t>
      </w:r>
      <w:r>
        <w:t>g</w:t>
      </w:r>
      <w:r w:rsidRPr="009A1DB7">
        <w:t>r.</w:t>
      </w:r>
    </w:p>
    <w:p w14:paraId="5C4D6D47" w14:textId="77777777" w:rsidR="00CA5280" w:rsidRDefault="00CA5280" w:rsidP="00CA5280">
      <w:pPr>
        <w:rPr>
          <w:color w:val="242424"/>
          <w:shd w:val="clear" w:color="auto" w:fill="FFFFFF"/>
        </w:rPr>
      </w:pPr>
      <w:r>
        <w:rPr>
          <w:color w:val="242424"/>
          <w:shd w:val="clear" w:color="auto" w:fill="FFFFFF"/>
        </w:rPr>
        <w:t xml:space="preserve">Í 11. gr. frumvarpsins eru lagðar til breytingar á 27. gr. laganna, en ákvæðið felur í sér innleiðingu á 39. gr. fjórðu peningaþvættistilskipunarinnar </w:t>
      </w:r>
      <w:r w:rsidRPr="004F4144">
        <w:rPr>
          <w:color w:val="242424"/>
          <w:shd w:val="clear" w:color="auto" w:fill="FFFFFF"/>
        </w:rPr>
        <w:t>(2015/849/EB)</w:t>
      </w:r>
      <w:r>
        <w:rPr>
          <w:color w:val="242424"/>
          <w:shd w:val="clear" w:color="auto" w:fill="FFFFFF"/>
        </w:rPr>
        <w:t xml:space="preserve">, að teknu tilliti til þeirra breytinga sem leiða af fimmtu peningaþvættistilskipuninni </w:t>
      </w:r>
      <w:bookmarkStart w:id="26" w:name="_Hlk94793907"/>
      <w:r>
        <w:rPr>
          <w:color w:val="242424"/>
          <w:shd w:val="clear" w:color="auto" w:fill="FFFFFF"/>
        </w:rPr>
        <w:t>(</w:t>
      </w:r>
      <w:r w:rsidRPr="00071298">
        <w:rPr>
          <w:color w:val="242424"/>
          <w:shd w:val="clear" w:color="auto" w:fill="FFFFFF"/>
        </w:rPr>
        <w:t>2018/843/EB</w:t>
      </w:r>
      <w:r>
        <w:rPr>
          <w:color w:val="242424"/>
          <w:shd w:val="clear" w:color="auto" w:fill="FFFFFF"/>
        </w:rPr>
        <w:t>)</w:t>
      </w:r>
      <w:bookmarkEnd w:id="26"/>
      <w:r>
        <w:rPr>
          <w:color w:val="242424"/>
          <w:shd w:val="clear" w:color="auto" w:fill="FFFFFF"/>
        </w:rPr>
        <w:t xml:space="preserve">. Af hálfu ESA var bent á að í c. og d. lið 3. mgr. ákvæðisins væri ekki að finna þá tilvísun til aðila frá þriðju ríkjum sem kveðið er á um í 4. og 5. mgr. 39. gr. fjórðu peningaþvættistilskipunarinnar.  Er því lagt til að nefndum stafliðum verði breytt á þann veg að þar sé vísað til þriðju ríkja til samræmis við áskilnað nefnds ákvæðis tilskipunarinnar. Að öðru leyti þarfnast ákvæðið ekki frekari skýringa. </w:t>
      </w:r>
    </w:p>
    <w:p w14:paraId="4E84C8C4" w14:textId="77777777" w:rsidR="002F5895" w:rsidRDefault="002F5895" w:rsidP="00BD2C89"/>
    <w:p w14:paraId="7C1F7CA0" w14:textId="1B5788ED" w:rsidR="008310C2" w:rsidRPr="00E36023" w:rsidRDefault="386AD333" w:rsidP="008310C2">
      <w:pPr>
        <w:jc w:val="center"/>
      </w:pPr>
      <w:r>
        <w:t xml:space="preserve">Um </w:t>
      </w:r>
      <w:r w:rsidR="280DFC46">
        <w:t>12</w:t>
      </w:r>
      <w:r>
        <w:t>. gr.</w:t>
      </w:r>
    </w:p>
    <w:p w14:paraId="7F0CACB0" w14:textId="0E5B8B17" w:rsidR="00D74D56" w:rsidRDefault="00D74D56" w:rsidP="00D74D56">
      <w:pPr>
        <w:rPr>
          <w:sz w:val="22"/>
        </w:rPr>
      </w:pPr>
      <w:r>
        <w:rPr>
          <w:color w:val="242424"/>
          <w:szCs w:val="21"/>
          <w:shd w:val="clear" w:color="auto" w:fill="FFFFFF"/>
        </w:rPr>
        <w:t xml:space="preserve">Í 33. gr. laga um aðgerðir gegn peningaþvætti og fjármögnun hryðjuverka er fjallað um þjálfun starfsmanna og m.a. vísað til þess að tilkynningarskyldir aðilar skuli sjá til þess að umboðsmenn, dreifingaraðilar og starfsmenn útibúa skuli hljóta sérstaka þjálfun. Krafan um að umboðsmenn og dreifingaraðilar tilkynningarskyldra aðila skuli hljóta sömu þjálfun og starfsmenn þeirra gengur nokkuð lengra en leiðir af tilmælum FATF nr. 18 og 23 og fjórðu peningaþvættistilskipuninni, en í báðum tilvikum nær krafan um þjálfun starfsmanna til samstæðna fjármálafyrirtækja, dótturfélaga og útibúa. Með hliðsjón af því er lagt til að ekki verði lengur gerð krafa um að tilkynningarskyldir aðilar skuli sjá til þess að umboðsmenn og dreifingaraðilar skuli hljóta sérstaka þjálfun. Umboðsmenn og dreifingaraðilar tilkynningarskyldra aðila samkvæmt a-e-lið 1. mgr. 2. gr. laganna verða hins vegar áfram tilkynningarskyldir aðilar á grundvelli </w:t>
      </w:r>
      <w:proofErr w:type="spellStart"/>
      <w:r>
        <w:rPr>
          <w:color w:val="242424"/>
          <w:szCs w:val="21"/>
          <w:shd w:val="clear" w:color="auto" w:fill="FFFFFF"/>
        </w:rPr>
        <w:t>g-liðar</w:t>
      </w:r>
      <w:proofErr w:type="spellEnd"/>
      <w:r>
        <w:rPr>
          <w:color w:val="242424"/>
          <w:szCs w:val="21"/>
          <w:shd w:val="clear" w:color="auto" w:fill="FFFFFF"/>
        </w:rPr>
        <w:t xml:space="preserve"> laganna, og falla þar með sjálfstætt undir 33. gr.</w:t>
      </w:r>
    </w:p>
    <w:p w14:paraId="61697B4D" w14:textId="77777777" w:rsidR="00CA5280" w:rsidRDefault="00CA5280" w:rsidP="00F50C2D">
      <w:pPr>
        <w:rPr>
          <w:color w:val="242424"/>
          <w:shd w:val="clear" w:color="auto" w:fill="FFFFFF"/>
        </w:rPr>
      </w:pPr>
    </w:p>
    <w:p w14:paraId="66174F08" w14:textId="04D0F785" w:rsidR="00F50C2D" w:rsidRDefault="00F50C2D" w:rsidP="00F50C2D">
      <w:pPr>
        <w:jc w:val="center"/>
      </w:pPr>
      <w:r>
        <w:t>Um 1</w:t>
      </w:r>
      <w:r w:rsidR="00BF0D5A">
        <w:t>3</w:t>
      </w:r>
      <w:r w:rsidRPr="009A1DB7">
        <w:t>. gr.</w:t>
      </w:r>
    </w:p>
    <w:p w14:paraId="29E6A32E" w14:textId="77777777" w:rsidR="00CA5280" w:rsidRDefault="00CA5280" w:rsidP="00CA5280">
      <w:pPr>
        <w:rPr>
          <w:color w:val="242424"/>
          <w:shd w:val="clear" w:color="auto" w:fill="FFFFFF"/>
        </w:rPr>
      </w:pPr>
      <w:r>
        <w:rPr>
          <w:color w:val="242424"/>
          <w:shd w:val="clear" w:color="auto" w:fill="FFFFFF"/>
        </w:rPr>
        <w:t>Lagt er til að í stað orðsins „reglur í 3. mgr. 34. gr. laganna komi orðið „stýringar“ þannig að samræmis sé gætt við önnur ákvæði laganna, sbr. 15. gr. laganna og 3. gr. frumvarpsins.</w:t>
      </w:r>
    </w:p>
    <w:p w14:paraId="373D9140" w14:textId="77777777" w:rsidR="00BD2C89" w:rsidRPr="00E36023" w:rsidRDefault="00BD2C89" w:rsidP="00765996">
      <w:pPr>
        <w:ind w:firstLine="0"/>
      </w:pPr>
    </w:p>
    <w:p w14:paraId="761DF9D9" w14:textId="77777777" w:rsidR="00783706" w:rsidRPr="00CF2DE3" w:rsidRDefault="44664D1B" w:rsidP="00783706">
      <w:pPr>
        <w:jc w:val="center"/>
      </w:pPr>
      <w:r>
        <w:t>Um 14. gr.</w:t>
      </w:r>
    </w:p>
    <w:p w14:paraId="7706FF80" w14:textId="45A67D90" w:rsidR="00783706" w:rsidRPr="00CF2DE3" w:rsidRDefault="44664D1B" w:rsidP="00783706">
      <w:r>
        <w:t xml:space="preserve">Í 35. gr. laga um aðgerðir gegn peningaþvætti og fjármögnun hryðjuverka  kemur </w:t>
      </w:r>
      <w:r w:rsidR="0085A2EF">
        <w:t>fram</w:t>
      </w:r>
      <w:r>
        <w:t xml:space="preserve"> að einstaklingar og lögaðilar sem starfrækja gjaldeyrisskiptastöð, þjónustuveitendur viðskipta milli sýndarfjár, rafeyris og gjaldmiðla og þjónustuveitendur stafrænna veskja séu skráningarskyldir hjá Seðlabanka Íslands.</w:t>
      </w:r>
    </w:p>
    <w:p w14:paraId="6284D380" w14:textId="0B6058EA" w:rsidR="00783706" w:rsidRDefault="44664D1B" w:rsidP="00783706">
      <w:r>
        <w:t xml:space="preserve">Þær breytingar sem lagðar eru til á 1. mgr. 35. gr. leiða í fyrsta lagi af þeim breytingum sem lagðar eru til í 1. gr. frumvarpsins og lúta annars vegar að breytingu á heiti gjaldeyrisskiptastöðva í </w:t>
      </w:r>
      <w:r w:rsidRPr="00F3664E">
        <w:t>gjaldeyris</w:t>
      </w:r>
      <w:r w:rsidR="00F3664E" w:rsidRPr="00E272BA">
        <w:t>skipta</w:t>
      </w:r>
      <w:r w:rsidRPr="00F3664E">
        <w:t>þjónustu o</w:t>
      </w:r>
      <w:r>
        <w:t xml:space="preserve">g hins vegar  að breytingu á heiti </w:t>
      </w:r>
      <w:r>
        <w:lastRenderedPageBreak/>
        <w:t xml:space="preserve">þjónustuveitenda </w:t>
      </w:r>
      <w:r w:rsidR="1948B1D6">
        <w:t>sýndarfjár</w:t>
      </w:r>
      <w:r>
        <w:t xml:space="preserve"> í þjónustuveitendur sýndareigna, og í öðru lagi af þeim breytingum sem lagðar eru til að gerðar verði á skilgreiningu síðarnefndu aðilanna í 2. gr. frumvarpsins. Þá er lagt til að í 2. mgr. taki undanþága frá skráningarskyldu eingöngu til fjármálafyrirtækja en ekki annarra aðila sem tilgreindir eru í a-lið 1. mgr. 2. gr.  </w:t>
      </w:r>
    </w:p>
    <w:p w14:paraId="0B63E2E0" w14:textId="68DE8684" w:rsidR="00783706" w:rsidRPr="00CF2DE3" w:rsidRDefault="00783706" w:rsidP="00783706">
      <w:r w:rsidRPr="0085390C">
        <w:t xml:space="preserve">Þá er lagt til að í </w:t>
      </w:r>
      <w:r w:rsidR="00F81D5D">
        <w:t>3</w:t>
      </w:r>
      <w:r w:rsidRPr="00CF2DE3">
        <w:t xml:space="preserve">. mgr. </w:t>
      </w:r>
      <w:r w:rsidRPr="0085390C">
        <w:t>verði það gert að</w:t>
      </w:r>
      <w:r w:rsidRPr="00CF2DE3">
        <w:t xml:space="preserve"> skilyrði að skráningarskyldur aðili veiti upplýsingar um framkvæmdastjóra, stofnendur, hluthafa og raunverulega eigendur auk lýsingar á starfseminni. Þá sk</w:t>
      </w:r>
      <w:r w:rsidRPr="0085390C">
        <w:t>uli</w:t>
      </w:r>
      <w:r w:rsidRPr="00CF2DE3">
        <w:t xml:space="preserve"> skráningarskyldur aðili </w:t>
      </w:r>
      <w:r w:rsidRPr="0085390C">
        <w:t xml:space="preserve">jafnframt </w:t>
      </w:r>
      <w:r w:rsidRPr="00CF2DE3">
        <w:t xml:space="preserve">veita upplýsingar um fyrirhugaðar aðgerðir sínar gegn peningaþvætti og fjármögnun hryðjuverka. Með ákvæðinu er tryggt að upplýsingar um framangreint berist áður en skráning </w:t>
      </w:r>
      <w:r w:rsidRPr="0085390C">
        <w:t>fer fram, en u</w:t>
      </w:r>
      <w:r w:rsidRPr="00CF2DE3">
        <w:t>m er að ræða upplýsingar sem eðlilegt er að berist með umsókn um skráningu hjá Seðlabanka Íslands</w:t>
      </w:r>
      <w:r w:rsidRPr="0085390C">
        <w:t>. Jafnframt er lagt til að Seðlabankinn geti óskað frekari upplýsinga vegna skráningar sé það talið nauðsynlegt</w:t>
      </w:r>
      <w:r w:rsidRPr="00CF2DE3">
        <w:t>.</w:t>
      </w:r>
    </w:p>
    <w:p w14:paraId="1778E013" w14:textId="77777777" w:rsidR="00783706" w:rsidRDefault="00783706" w:rsidP="007614ED"/>
    <w:p w14:paraId="2062445A" w14:textId="6803E27E" w:rsidR="0010220C" w:rsidRDefault="00BF0D5A" w:rsidP="0010220C">
      <w:pPr>
        <w:ind w:firstLine="0"/>
        <w:jc w:val="center"/>
      </w:pPr>
      <w:r>
        <w:rPr>
          <w:color w:val="000000" w:themeColor="text1"/>
          <w:szCs w:val="21"/>
        </w:rPr>
        <w:t xml:space="preserve">Um </w:t>
      </w:r>
      <w:r w:rsidR="0010220C">
        <w:t>1</w:t>
      </w:r>
      <w:r>
        <w:t>5</w:t>
      </w:r>
      <w:r w:rsidR="0010220C" w:rsidRPr="009A1DB7">
        <w:t>. gr.</w:t>
      </w:r>
    </w:p>
    <w:p w14:paraId="6F189DB2" w14:textId="77777777" w:rsidR="00783706" w:rsidRPr="00E22DBB" w:rsidRDefault="00783706" w:rsidP="00783706">
      <w:r w:rsidRPr="00E22DBB">
        <w:t xml:space="preserve">Lagt er til að í stað 1. mgr. 37. gr. laganna komi ný málsgrein um þau skilyrði sem þurfa að vera uppfyllt til þess að veita megi aðila skráningu samkvæmt 35. gr. laganna. </w:t>
      </w:r>
      <w:r w:rsidRPr="00665ADB">
        <w:t>Nýja greinin byggir á þeirri eldri en tiltekur með nánari</w:t>
      </w:r>
      <w:r w:rsidRPr="00E22DBB">
        <w:t xml:space="preserve"> og skýrari</w:t>
      </w:r>
      <w:r w:rsidRPr="00665ADB">
        <w:t xml:space="preserve"> hætti</w:t>
      </w:r>
      <w:r w:rsidRPr="00E22DBB">
        <w:t xml:space="preserve"> þau skilyrði sem þurfa að vera uppfyllt og til hvaða aðila tengdum umsækjanda þau ná.</w:t>
      </w:r>
      <w:r w:rsidRPr="00665ADB">
        <w:t xml:space="preserve"> </w:t>
      </w:r>
    </w:p>
    <w:p w14:paraId="08129EED" w14:textId="6DC530E0" w:rsidR="00783706" w:rsidRPr="00E22DBB" w:rsidRDefault="44664D1B" w:rsidP="47A4417F">
      <w:pPr>
        <w:rPr>
          <w:color w:val="333333"/>
          <w:szCs w:val="21"/>
        </w:rPr>
      </w:pPr>
      <w:r>
        <w:t>Þau skilyrði sem fram koma í i.-iv. lið greinarinnar er einnig að finna í núgildandi ákvæði að því undanskildu að í iii. lið er nú tekið fram að synja skuli um skráningu ef skráningarskyldur aðili, raunverulegir eigendur, stjórn eða framkvæmdastjóri, eru ekki fjárhagslega sjálfstæðir eða hafa ekki yfir að ráða þekkingu, hæfni og reynslu sem nýtist í starfi auk þess sem við</w:t>
      </w:r>
      <w:r w:rsidR="008D3733">
        <w:t xml:space="preserve"> </w:t>
      </w:r>
      <w:r>
        <w:t xml:space="preserve">i. lið greinarinnar bætast skilyrði um að þeir aðilar sem um ræðir þurfi að vera </w:t>
      </w:r>
      <w:proofErr w:type="spellStart"/>
      <w:r>
        <w:t>lögráða</w:t>
      </w:r>
      <w:proofErr w:type="spellEnd"/>
      <w:r w:rsidR="1F6005EF">
        <w:t xml:space="preserve"> og hafa gott orðspor</w:t>
      </w:r>
      <w:r>
        <w:t>.</w:t>
      </w:r>
      <w:r w:rsidR="6F799C11">
        <w:t xml:space="preserve"> </w:t>
      </w:r>
      <w:r w:rsidR="6F799C11" w:rsidRPr="00765996">
        <w:t>Breytingarnar eru</w:t>
      </w:r>
      <w:r w:rsidR="00843865" w:rsidRPr="00765996">
        <w:t xml:space="preserve"> í samræmi við þær </w:t>
      </w:r>
      <w:r w:rsidR="6F799C11" w:rsidRPr="00765996">
        <w:t xml:space="preserve">hæfiskröfur </w:t>
      </w:r>
      <w:r w:rsidR="00843865" w:rsidRPr="00765996">
        <w:t xml:space="preserve">sem gerðar eru til stjórnarmanna og framkvæmdastóra </w:t>
      </w:r>
      <w:r w:rsidR="6F799C11" w:rsidRPr="00765996">
        <w:t>tilkynningarskyld</w:t>
      </w:r>
      <w:r w:rsidR="00843865" w:rsidRPr="00765996">
        <w:t>ra</w:t>
      </w:r>
      <w:r w:rsidR="6F799C11" w:rsidRPr="00765996">
        <w:t xml:space="preserve"> aðil</w:t>
      </w:r>
      <w:r w:rsidR="00843865" w:rsidRPr="00765996">
        <w:t>a</w:t>
      </w:r>
      <w:r w:rsidR="6F799C11" w:rsidRPr="00765996">
        <w:t xml:space="preserve"> sem lúta eftirliti Fjármálaeftirlitsins</w:t>
      </w:r>
      <w:r w:rsidR="00F81D5D">
        <w:t xml:space="preserve">, sbr. 52. gr. laga um fjármálafyrirtæki, en eðlilegt </w:t>
      </w:r>
      <w:r w:rsidR="00F20969">
        <w:t>þykir</w:t>
      </w:r>
      <w:r w:rsidR="00F81D5D">
        <w:t xml:space="preserve"> að sambærilegar kröfur </w:t>
      </w:r>
      <w:r w:rsidR="00F20969">
        <w:t>séu</w:t>
      </w:r>
      <w:r w:rsidR="00F81D5D">
        <w:t xml:space="preserve"> gerðar til þjónustuveitenda sýndareigna og </w:t>
      </w:r>
      <w:r w:rsidR="00F20969">
        <w:t>gerðar eru</w:t>
      </w:r>
      <w:r w:rsidR="00F81D5D">
        <w:t xml:space="preserve"> til stjórnenda fjármálafyrirtækja</w:t>
      </w:r>
      <w:r w:rsidR="00F20969">
        <w:t xml:space="preserve"> hvað þetta varðar</w:t>
      </w:r>
      <w:r w:rsidR="6F799C11" w:rsidRPr="00765996">
        <w:t>.</w:t>
      </w:r>
      <w:r w:rsidR="6F799C11">
        <w:t xml:space="preserve">  </w:t>
      </w:r>
    </w:p>
    <w:p w14:paraId="1E66A622" w14:textId="68F3B5B0" w:rsidR="00783706" w:rsidRPr="00E22DBB" w:rsidRDefault="47A4417F" w:rsidP="47A4417F">
      <w:pPr>
        <w:spacing w:line="259" w:lineRule="auto"/>
      </w:pPr>
      <w:r w:rsidRPr="00E272BA">
        <w:t>Krafa um þekkingu, hæfni og reynslu sem nýtist í starfi lýtur að því hvort þekking og reynsla stjórnarmanns og framkvæmdastjóra sé nægileg til að hann fái valdið starfanum. Eðli máls samkvæmt er ekki unnt að setja fram almenn viðmið um það hvaða þekkingar eða reynslu er þörf, heldur verður að meta slíkt hverju sinni með hliðsjón af starfsemi tilkynningarskylda aðilans og umfangi rekstursins. Þó er ljóst að þekking og reynsla af aðgerðum gegn peningaþvætti og fjármögnun hryðjuverka vegur sérstaklega þungt. Skilyrðið um gott orðspor lýtur að því að stjórnarmaður</w:t>
      </w:r>
      <w:r w:rsidRPr="47A4417F">
        <w:t xml:space="preserve"> og framkvæmdastjóri hafi ekki með fyrri hegðun sinni rúið sig trausti til að takast á hendur stjórn tilkynningarskylds aðila. Skilyrði þetta er óháð ákvæðum ii-liðar, og getur því t.d. refsiverður verknaður aðila haft áhrif á mat á hæfi hans skv. </w:t>
      </w:r>
      <w:proofErr w:type="spellStart"/>
      <w:r w:rsidRPr="47A4417F">
        <w:t>i-lið</w:t>
      </w:r>
      <w:proofErr w:type="spellEnd"/>
      <w:r w:rsidRPr="47A4417F">
        <w:t xml:space="preserve">, enda þótt brotið hafi ekki lotið að atvinnurekstri eða lengra en fimm ár séu liðin frá því dómur gekk. Enn fremur getur fyrri þrotameðferð haft áhrif á mat á hæfi stjórnarmanns og framkvæmdastjóra þótt lengri tími hafi liðið frá skiptameðferð en greinir í </w:t>
      </w:r>
      <w:proofErr w:type="spellStart"/>
      <w:r w:rsidRPr="47A4417F">
        <w:t>i-lið</w:t>
      </w:r>
      <w:proofErr w:type="spellEnd"/>
      <w:r w:rsidRPr="47A4417F">
        <w:t xml:space="preserve">. Fyrri brot á lögum um starfsemi á fjármálamarkaði hefur sérstaka þýðingu við matið, auk þess sem fyrri afskipti Fjármálaeftirlitsins eða mat þess á fyrri störfum viðkomandi hefur þýðingu við mat á hæfi. Fleiri ástæður geta komið til skoðunar. </w:t>
      </w:r>
    </w:p>
    <w:p w14:paraId="6300328D" w14:textId="160A045E" w:rsidR="00783706" w:rsidRPr="00665ADB" w:rsidRDefault="44664D1B" w:rsidP="00783706">
      <w:r>
        <w:t>Þá er lagt til að í 2. m</w:t>
      </w:r>
      <w:r w:rsidR="614D8F8C">
        <w:t>gr.</w:t>
      </w:r>
      <w:r>
        <w:t xml:space="preserve"> ákvæðisins verði tekinn af vafi um að þau skilyrði sem um ræðir séu viðvarandi og að Seðlabanki Íslands geti á hverjum tíma tekið hæfi þeirra aðila sem um ræðir til sérstakrar skoðunar. Er enn fremur gert ráð fyrir því að Seðlabanki Íslands setji nánari </w:t>
      </w:r>
      <w:r>
        <w:lastRenderedPageBreak/>
        <w:t xml:space="preserve">reglur um hæfisskilyrði samkvæmt greininni, þar á meðal um hvað felist í fullnægjandi þekkingu, hæfni og reynslu sem nýtist í starfi, góðu orðspori og fjárhagslegu sjálfstæði, og hvernig staðið skuli að mati á þessum þáttum. Er það í samræmi við framkvæmd hæfismats samkvæmt öðrum lögum sem lúta að starfsemi þar sem Seðlabanki Íslands fer með leyfis- og skráningarveitingu.  </w:t>
      </w:r>
    </w:p>
    <w:p w14:paraId="581D314B" w14:textId="20AE6FC9" w:rsidR="47A4417F" w:rsidRDefault="47A4417F" w:rsidP="47A4417F">
      <w:pPr>
        <w:ind w:firstLine="0"/>
        <w:jc w:val="center"/>
      </w:pPr>
    </w:p>
    <w:p w14:paraId="69A8E45F" w14:textId="5F5D5FDA" w:rsidR="00A12A65" w:rsidRPr="00BF0D5A" w:rsidRDefault="00A12A65" w:rsidP="0010220C">
      <w:pPr>
        <w:ind w:firstLine="0"/>
        <w:jc w:val="center"/>
        <w:rPr>
          <w:szCs w:val="21"/>
        </w:rPr>
      </w:pPr>
      <w:r w:rsidRPr="00BF0D5A">
        <w:rPr>
          <w:szCs w:val="21"/>
        </w:rPr>
        <w:t xml:space="preserve">Um 16. </w:t>
      </w:r>
      <w:r w:rsidR="00BF0D5A" w:rsidRPr="00BF0D5A">
        <w:rPr>
          <w:szCs w:val="21"/>
        </w:rPr>
        <w:t>g</w:t>
      </w:r>
      <w:r w:rsidRPr="00BF0D5A">
        <w:rPr>
          <w:szCs w:val="21"/>
        </w:rPr>
        <w:t>r.</w:t>
      </w:r>
    </w:p>
    <w:p w14:paraId="41C1B0B0" w14:textId="77777777" w:rsidR="00783706" w:rsidRDefault="00783706" w:rsidP="00783706">
      <w:r>
        <w:t xml:space="preserve">Lagt er til að á eftir 44. gr. laganna komi nýtt ákvæði, 44. gr. a um þau atriði sem líta ber til við ákvörðun viðurlaga. Sambærilegt ákvæði er nú að finna í 2. mgr. 46. gr., en í 17. gr. frumvarpsins er lagt til að sú málsgrein falli brott. </w:t>
      </w:r>
    </w:p>
    <w:p w14:paraId="3EA41552" w14:textId="77777777" w:rsidR="00783706" w:rsidRDefault="00783706" w:rsidP="00783706">
      <w:pPr>
        <w:rPr>
          <w:color w:val="242424"/>
          <w:shd w:val="clear" w:color="auto" w:fill="FFFFFF"/>
        </w:rPr>
      </w:pPr>
      <w:r>
        <w:t>Meginástæða þess að lagt er til að efnisreglum greinarinnar verði komið fyrir í nýju ákvæði er að undirstrika að þær eigi einnig við þegar kemur að ákvörðun um önnur viðurlög samkvæmt XII. kafla laganna heldur en stjórnvaldssektir, en efni sínu samkvæmt tekur núgildandi 46. gr. einungis til stjórnvaldssekta. Hefur orðalagi hins nýja ákvæðis verið breytt til samræmis við þetta og tekið þar fram að það eigi bæði við um stjórnvaldssektir og önnur viðurlög. Jafnframt er áréttað að ákvæðið eigi bæði við þegar tekin er ákvörðun um hvaða tegund viðurlaga eigi að beita og í hvaða mæli þeim skuli beitt, t.a.m. við ákvörðun um fjárhæð stjórnvaldssekta. Þá má að lokum árétta að þau atriði sem talin eru upp í ákvæðinu eru nefnd þar í dæmaskyni og því ekki tæmandi um þau atriði sem líta ber til í þessum efnum. Er enda áskilið að litið sé til allra þeirra atvika sem máli skipta, eins og orðalag ákvæðisins ber skýrlega með sér.</w:t>
      </w:r>
    </w:p>
    <w:p w14:paraId="7DA750EB" w14:textId="16D84CAC" w:rsidR="00A12A65" w:rsidRDefault="00A12A65" w:rsidP="00A12A65">
      <w:pPr>
        <w:ind w:firstLine="0"/>
      </w:pPr>
    </w:p>
    <w:p w14:paraId="03021B5C" w14:textId="50A11C17" w:rsidR="00A12A65" w:rsidRDefault="00A12A65" w:rsidP="00A12A65">
      <w:pPr>
        <w:ind w:firstLine="0"/>
        <w:jc w:val="center"/>
      </w:pPr>
      <w:r>
        <w:t>Um 17.</w:t>
      </w:r>
      <w:r w:rsidR="00BF0D5A">
        <w:t xml:space="preserve"> </w:t>
      </w:r>
      <w:r>
        <w:t>gr.</w:t>
      </w:r>
    </w:p>
    <w:p w14:paraId="3DF1200A" w14:textId="4B18AB41" w:rsidR="00783706" w:rsidRDefault="00783706" w:rsidP="00783706">
      <w:bookmarkStart w:id="27" w:name="_Hlk94779825"/>
      <w:r>
        <w:t xml:space="preserve">Í 17. gr. frumvarpsins eru lagðar til breytingar á 46. gr. laganna </w:t>
      </w:r>
      <w:bookmarkEnd w:id="27"/>
      <w:r>
        <w:t xml:space="preserve">sem leiða af þeim breytingum sem lagðar eru til í 16. gr. frumvarpsins. Annars vegar er lagt til að 2. mgr. 46. gr. falli brott og hins vegar að tilvísunum til annarra málsgreina í 4. og 6. mgr. greinarinnar verði breytt til samræmis við þá </w:t>
      </w:r>
      <w:proofErr w:type="spellStart"/>
      <w:r>
        <w:t>brottfellingu</w:t>
      </w:r>
      <w:proofErr w:type="spellEnd"/>
      <w:r>
        <w:t xml:space="preserve">. Að öðru leyti þarfnast </w:t>
      </w:r>
      <w:r w:rsidR="007A3A14">
        <w:t>ákvæðið</w:t>
      </w:r>
      <w:r>
        <w:t xml:space="preserve"> ekki frekari skýringa.</w:t>
      </w:r>
    </w:p>
    <w:p w14:paraId="2A495B35" w14:textId="5B3CBE5E" w:rsidR="00A12A65" w:rsidRDefault="00A12A65" w:rsidP="00A12A65">
      <w:pPr>
        <w:ind w:firstLine="0"/>
      </w:pPr>
    </w:p>
    <w:p w14:paraId="21AD7E70" w14:textId="3DEC2EB5" w:rsidR="00BF0D5A" w:rsidRDefault="00BF0D5A" w:rsidP="00BF0D5A">
      <w:pPr>
        <w:ind w:firstLine="0"/>
        <w:jc w:val="center"/>
      </w:pPr>
      <w:r>
        <w:t>Um 18. gr.</w:t>
      </w:r>
    </w:p>
    <w:p w14:paraId="448F5543" w14:textId="5A81DE75" w:rsidR="00783706" w:rsidRDefault="00783706" w:rsidP="00783706">
      <w:r>
        <w:t xml:space="preserve">Lagt er til að í 48. gr. laganna, sem fjallar um rétt einstaklinga til að fella ekki á sig sök, verði tekið fram að sá réttur eigi einnig við þegar máli getur lokið með öðrum viðurlögum samkvæmt lögunum heldur en stjórnvaldssektum. Efni sínu samkvæmt tekur núgildandi ákvæði einungis til stjórnvaldssekta. Að öðru leyti þarfnast </w:t>
      </w:r>
      <w:r w:rsidR="007A3A14">
        <w:t>ákvæðið</w:t>
      </w:r>
      <w:r>
        <w:t xml:space="preserve"> ekki frekari skýringa. </w:t>
      </w:r>
    </w:p>
    <w:p w14:paraId="689FBE0A" w14:textId="77777777" w:rsidR="00BF0D5A" w:rsidRDefault="00BF0D5A" w:rsidP="00A12A65">
      <w:pPr>
        <w:ind w:firstLine="0"/>
      </w:pPr>
    </w:p>
    <w:p w14:paraId="7B8B8A26" w14:textId="77777777" w:rsidR="00E95E85" w:rsidRDefault="008C1759" w:rsidP="00BD2C89">
      <w:pPr>
        <w:jc w:val="center"/>
      </w:pPr>
      <w:r>
        <w:t>Um 19. gr.</w:t>
      </w:r>
    </w:p>
    <w:p w14:paraId="077310ED" w14:textId="69B1F7DF" w:rsidR="00783706" w:rsidRDefault="00783706" w:rsidP="00783706">
      <w:r>
        <w:t xml:space="preserve">Lagt er til að í 48. gr. laganna, sem fjallar um frest eftirlitsaðila til að leggja á stjórnvaldssektir, verði tekið fram að ákvæðið eigi einnig við þegar um er að ræða önnur viðurlög heldur en stjórnvaldssektir. Er jafnframt lagt til að heiti ákvæðisins verði breytt því til samræmis. Að öðru leyti þarfnast </w:t>
      </w:r>
      <w:r w:rsidR="007A3A14">
        <w:t>ákvæðið</w:t>
      </w:r>
      <w:r>
        <w:t xml:space="preserve"> ekki frekari skýringa.</w:t>
      </w:r>
    </w:p>
    <w:p w14:paraId="1E300EBF" w14:textId="77777777" w:rsidR="00BF0D5A" w:rsidRDefault="00BF0D5A" w:rsidP="00A12A65">
      <w:pPr>
        <w:ind w:firstLine="0"/>
      </w:pPr>
    </w:p>
    <w:p w14:paraId="41C74126" w14:textId="72489F89" w:rsidR="00BF0D5A" w:rsidRDefault="008C1759" w:rsidP="008C1759">
      <w:pPr>
        <w:ind w:firstLine="0"/>
        <w:jc w:val="center"/>
      </w:pPr>
      <w:bookmarkStart w:id="28" w:name="_Hlk96421062"/>
      <w:r>
        <w:t>Um 20. gr.</w:t>
      </w:r>
    </w:p>
    <w:p w14:paraId="2C9DEB8D" w14:textId="0AF8676D" w:rsidR="00783706" w:rsidRPr="000005DB" w:rsidRDefault="00783706" w:rsidP="00783706">
      <w:r>
        <w:t xml:space="preserve">Til samræmis við þær breytingar sem lagðar eru </w:t>
      </w:r>
      <w:bookmarkEnd w:id="28"/>
      <w:r>
        <w:t xml:space="preserve">til í 16. – 19. gr. frumvarpsins, er lagt til að </w:t>
      </w:r>
      <w:proofErr w:type="spellStart"/>
      <w:r>
        <w:t>h-lið</w:t>
      </w:r>
      <w:proofErr w:type="spellEnd"/>
      <w:r>
        <w:t xml:space="preserve"> 1. mgr. 56. gr. laganna, sem heimilar ráðherra að setja reglugerð um álagningu dagsekta og stjórnvaldssekta samkvæmt XII. kafla laganna, verði breytt á þann veg að heimildin nái einnig til álagningu annarra viðurlaga samkvæmt kaflanum. Að öðru leyti þarfnast </w:t>
      </w:r>
      <w:r w:rsidR="007A3A14">
        <w:t>ákvæðið</w:t>
      </w:r>
      <w:r>
        <w:t xml:space="preserve"> ekki frekari skýringa.  </w:t>
      </w:r>
    </w:p>
    <w:p w14:paraId="26693188" w14:textId="21238039" w:rsidR="00783706" w:rsidRDefault="00783706" w:rsidP="008C1759">
      <w:pPr>
        <w:ind w:firstLine="0"/>
        <w:rPr>
          <w:highlight w:val="lightGray"/>
        </w:rPr>
      </w:pPr>
    </w:p>
    <w:p w14:paraId="69FAC3F3" w14:textId="77777777" w:rsidR="007A3A14" w:rsidRDefault="007A3A14" w:rsidP="008C1759">
      <w:pPr>
        <w:ind w:firstLine="0"/>
        <w:rPr>
          <w:highlight w:val="lightGray"/>
        </w:rPr>
      </w:pPr>
    </w:p>
    <w:p w14:paraId="3F58CA22" w14:textId="077E96BB" w:rsidR="007A3A14" w:rsidRDefault="007A3A14" w:rsidP="007A3A14">
      <w:pPr>
        <w:ind w:firstLine="0"/>
        <w:jc w:val="center"/>
      </w:pPr>
      <w:r>
        <w:t>Um 21. gr.</w:t>
      </w:r>
    </w:p>
    <w:p w14:paraId="7235EE69" w14:textId="48DED6BD" w:rsidR="00097D44" w:rsidRPr="00012035" w:rsidRDefault="007A3A14" w:rsidP="0029346B">
      <w:pPr>
        <w:ind w:firstLine="0"/>
      </w:pPr>
      <w:r>
        <w:t>Ákvæðið þarfnast ekki skýringa.</w:t>
      </w:r>
    </w:p>
    <w:sectPr w:rsidR="00097D44" w:rsidRPr="00012035" w:rsidSect="00947F0E">
      <w:headerReference w:type="default" r:id="rId11"/>
      <w:headerReference w:type="first" r:id="rId12"/>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4FF9925" w14:textId="77777777" w:rsidR="00263B88" w:rsidRDefault="00263B88" w:rsidP="006258D7">
      <w:r>
        <w:separator/>
      </w:r>
    </w:p>
    <w:p w14:paraId="2CA2E813" w14:textId="77777777" w:rsidR="00263B88" w:rsidRDefault="00263B88"/>
  </w:endnote>
  <w:endnote w:type="continuationSeparator" w:id="0">
    <w:p w14:paraId="2B73B3FA" w14:textId="77777777" w:rsidR="00263B88" w:rsidRDefault="00263B88" w:rsidP="006258D7">
      <w:r>
        <w:continuationSeparator/>
      </w:r>
    </w:p>
    <w:p w14:paraId="10CC3DBD" w14:textId="77777777" w:rsidR="00263B88" w:rsidRDefault="00263B88"/>
  </w:endnote>
  <w:endnote w:type="continuationNotice" w:id="1">
    <w:p w14:paraId="0DA2438C" w14:textId="77777777" w:rsidR="00263B88" w:rsidRDefault="00263B8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355D6B3" w14:textId="77777777" w:rsidR="00263B88" w:rsidRDefault="00263B88" w:rsidP="005B4CD6">
      <w:pPr>
        <w:ind w:firstLine="0"/>
      </w:pPr>
      <w:r>
        <w:separator/>
      </w:r>
    </w:p>
    <w:p w14:paraId="2F1A4747" w14:textId="77777777" w:rsidR="00263B88" w:rsidRDefault="00263B88"/>
  </w:footnote>
  <w:footnote w:type="continuationSeparator" w:id="0">
    <w:p w14:paraId="4773E11D" w14:textId="77777777" w:rsidR="00263B88" w:rsidRDefault="00263B88" w:rsidP="006258D7">
      <w:r>
        <w:continuationSeparator/>
      </w:r>
    </w:p>
    <w:p w14:paraId="438FF19F" w14:textId="77777777" w:rsidR="00263B88" w:rsidRDefault="00263B88"/>
  </w:footnote>
  <w:footnote w:type="continuationNotice" w:id="1">
    <w:p w14:paraId="0A71C7F9" w14:textId="77777777" w:rsidR="00263B88" w:rsidRDefault="00263B8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46052F" w14:textId="7F4E2862" w:rsidR="00E02B2B" w:rsidRDefault="00E02B2B" w:rsidP="006258D7">
    <w:pPr>
      <w:pStyle w:val="Suhaus"/>
      <w:tabs>
        <w:tab w:val="clear" w:pos="4536"/>
        <w:tab w:val="clear" w:pos="9072"/>
        <w:tab w:val="center" w:pos="3969"/>
        <w:tab w:val="right" w:pos="7797"/>
      </w:tabs>
    </w:pPr>
    <w:r>
      <w:tab/>
    </w:r>
    <w:r>
      <w:fldChar w:fldCharType="begin"/>
    </w:r>
    <w:r>
      <w:instrText>PAGE   \* MERGEFORMAT</w:instrText>
    </w:r>
    <w:r>
      <w:fldChar w:fldCharType="separate"/>
    </w:r>
    <w:r>
      <w:rPr>
        <w:noProof/>
      </w:rPr>
      <w:t>15</w:t>
    </w:r>
    <w:r>
      <w:rPr>
        <w:noProof/>
      </w:rPr>
      <w:fldChar w:fldCharType="end"/>
    </w:r>
    <w:r>
      <w:rPr>
        <w:noProof/>
      </w:rP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sidR="00D25C52">
      <w:rPr>
        <w:b/>
        <w:i/>
        <w:noProof/>
        <w:color w:val="7F7F7F"/>
        <w:sz w:val="24"/>
        <w:szCs w:val="24"/>
      </w:rPr>
      <w:t>22. febrúar 2022</w:t>
    </w:r>
    <w:r>
      <w:rPr>
        <w:b/>
        <w:i/>
        <w:color w:val="7F7F7F"/>
        <w:sz w:val="24"/>
        <w:szCs w:val="24"/>
      </w:rPr>
      <w:fldChar w:fldCharType="end"/>
    </w:r>
  </w:p>
  <w:p w14:paraId="0641AD86" w14:textId="77777777" w:rsidR="00E02B2B" w:rsidRDefault="00E02B2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81CFD8" w14:textId="4C1F93DE" w:rsidR="00E02B2B" w:rsidRDefault="00263B88" w:rsidP="00655EE3">
    <w:pPr>
      <w:pStyle w:val="Suhaus"/>
      <w:tabs>
        <w:tab w:val="clear" w:pos="4536"/>
        <w:tab w:val="clear" w:pos="9072"/>
        <w:tab w:val="center" w:pos="3969"/>
        <w:tab w:val="right" w:pos="7797"/>
      </w:tabs>
    </w:pPr>
    <w:sdt>
      <w:sdtPr>
        <w:id w:val="95216714"/>
        <w:docPartObj>
          <w:docPartGallery w:val="Watermarks"/>
          <w:docPartUnique/>
        </w:docPartObj>
      </w:sdtPr>
      <w:sdtEndPr/>
      <w:sdtContent>
        <w:r>
          <w:pict w14:anchorId="1D87C78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ÖG"/>
              <w10:wrap anchorx="margin" anchory="margin"/>
            </v:shape>
          </w:pict>
        </w:r>
      </w:sdtContent>
    </w:sdt>
    <w:r w:rsidR="00E02B2B">
      <w:tab/>
    </w:r>
    <w:r w:rsidR="00E02B2B">
      <w:tab/>
    </w:r>
    <w:r w:rsidR="00896869">
      <w:rPr>
        <w:b/>
        <w:i/>
        <w:color w:val="7F7F7F"/>
        <w:sz w:val="24"/>
        <w:szCs w:val="24"/>
      </w:rPr>
      <w:t>Í</w:t>
    </w:r>
    <w:r w:rsidR="00E02B2B">
      <w:rPr>
        <w:b/>
        <w:i/>
        <w:color w:val="7F7F7F"/>
        <w:sz w:val="24"/>
        <w:szCs w:val="24"/>
      </w:rPr>
      <w:t xml:space="preserve"> </w:t>
    </w:r>
    <w:r w:rsidR="00E02B2B" w:rsidRPr="00655EE3">
      <w:rPr>
        <w:b/>
        <w:i/>
        <w:color w:val="7F7F7F"/>
        <w:sz w:val="24"/>
        <w:szCs w:val="24"/>
      </w:rPr>
      <w:t xml:space="preserve"> vinnslu</w:t>
    </w:r>
    <w:r w:rsidR="00E02B2B">
      <w:rPr>
        <w:b/>
        <w:i/>
        <w:color w:val="7F7F7F"/>
        <w:sz w:val="24"/>
        <w:szCs w:val="24"/>
      </w:rPr>
      <w:t xml:space="preserve"> – </w:t>
    </w:r>
    <w:r w:rsidR="00E02B2B">
      <w:rPr>
        <w:b/>
        <w:i/>
        <w:color w:val="7F7F7F"/>
        <w:sz w:val="24"/>
        <w:szCs w:val="24"/>
      </w:rPr>
      <w:fldChar w:fldCharType="begin"/>
    </w:r>
    <w:r w:rsidR="00E02B2B">
      <w:rPr>
        <w:b/>
        <w:i/>
        <w:color w:val="7F7F7F"/>
        <w:sz w:val="24"/>
        <w:szCs w:val="24"/>
      </w:rPr>
      <w:instrText xml:space="preserve"> TIME \@ "d. MMMM yyyy" </w:instrText>
    </w:r>
    <w:r w:rsidR="00E02B2B">
      <w:rPr>
        <w:b/>
        <w:i/>
        <w:color w:val="7F7F7F"/>
        <w:sz w:val="24"/>
        <w:szCs w:val="24"/>
      </w:rPr>
      <w:fldChar w:fldCharType="separate"/>
    </w:r>
    <w:r w:rsidR="00D25C52">
      <w:rPr>
        <w:b/>
        <w:i/>
        <w:noProof/>
        <w:color w:val="7F7F7F"/>
        <w:sz w:val="24"/>
        <w:szCs w:val="24"/>
      </w:rPr>
      <w:t>22. febrúar 2022</w:t>
    </w:r>
    <w:r w:rsidR="00E02B2B">
      <w:rPr>
        <w:b/>
        <w:i/>
        <w:color w:val="7F7F7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FC7861"/>
    <w:multiLevelType w:val="hybridMultilevel"/>
    <w:tmpl w:val="D6622EA8"/>
    <w:lvl w:ilvl="0" w:tplc="3C3C1220">
      <w:start w:val="1"/>
      <w:numFmt w:val="lowerLetter"/>
      <w:lvlText w:val="%1."/>
      <w:lvlJc w:val="left"/>
      <w:pPr>
        <w:ind w:left="1212" w:hanging="360"/>
      </w:pPr>
      <w:rPr>
        <w:rFonts w:hint="default"/>
      </w:rPr>
    </w:lvl>
    <w:lvl w:ilvl="1" w:tplc="040F0019" w:tentative="1">
      <w:start w:val="1"/>
      <w:numFmt w:val="lowerLetter"/>
      <w:lvlText w:val="%2."/>
      <w:lvlJc w:val="left"/>
      <w:pPr>
        <w:ind w:left="1932" w:hanging="360"/>
      </w:pPr>
    </w:lvl>
    <w:lvl w:ilvl="2" w:tplc="040F001B" w:tentative="1">
      <w:start w:val="1"/>
      <w:numFmt w:val="lowerRoman"/>
      <w:lvlText w:val="%3."/>
      <w:lvlJc w:val="right"/>
      <w:pPr>
        <w:ind w:left="2652" w:hanging="180"/>
      </w:pPr>
    </w:lvl>
    <w:lvl w:ilvl="3" w:tplc="040F000F" w:tentative="1">
      <w:start w:val="1"/>
      <w:numFmt w:val="decimal"/>
      <w:lvlText w:val="%4."/>
      <w:lvlJc w:val="left"/>
      <w:pPr>
        <w:ind w:left="3372" w:hanging="360"/>
      </w:pPr>
    </w:lvl>
    <w:lvl w:ilvl="4" w:tplc="040F0019" w:tentative="1">
      <w:start w:val="1"/>
      <w:numFmt w:val="lowerLetter"/>
      <w:lvlText w:val="%5."/>
      <w:lvlJc w:val="left"/>
      <w:pPr>
        <w:ind w:left="4092" w:hanging="360"/>
      </w:pPr>
    </w:lvl>
    <w:lvl w:ilvl="5" w:tplc="040F001B" w:tentative="1">
      <w:start w:val="1"/>
      <w:numFmt w:val="lowerRoman"/>
      <w:lvlText w:val="%6."/>
      <w:lvlJc w:val="right"/>
      <w:pPr>
        <w:ind w:left="4812" w:hanging="180"/>
      </w:pPr>
    </w:lvl>
    <w:lvl w:ilvl="6" w:tplc="040F000F" w:tentative="1">
      <w:start w:val="1"/>
      <w:numFmt w:val="decimal"/>
      <w:lvlText w:val="%7."/>
      <w:lvlJc w:val="left"/>
      <w:pPr>
        <w:ind w:left="5532" w:hanging="360"/>
      </w:pPr>
    </w:lvl>
    <w:lvl w:ilvl="7" w:tplc="040F0019" w:tentative="1">
      <w:start w:val="1"/>
      <w:numFmt w:val="lowerLetter"/>
      <w:lvlText w:val="%8."/>
      <w:lvlJc w:val="left"/>
      <w:pPr>
        <w:ind w:left="6252" w:hanging="360"/>
      </w:pPr>
    </w:lvl>
    <w:lvl w:ilvl="8" w:tplc="040F001B" w:tentative="1">
      <w:start w:val="1"/>
      <w:numFmt w:val="lowerRoman"/>
      <w:lvlText w:val="%9."/>
      <w:lvlJc w:val="right"/>
      <w:pPr>
        <w:ind w:left="6972" w:hanging="180"/>
      </w:pPr>
    </w:lvl>
  </w:abstractNum>
  <w:abstractNum w:abstractNumId="1" w15:restartNumberingAfterBreak="0">
    <w:nsid w:val="097C14E2"/>
    <w:multiLevelType w:val="hybridMultilevel"/>
    <w:tmpl w:val="3DEA8356"/>
    <w:lvl w:ilvl="0" w:tplc="698A4BE0">
      <w:start w:val="3"/>
      <w:numFmt w:val="bullet"/>
      <w:lvlText w:val="-"/>
      <w:lvlJc w:val="left"/>
      <w:pPr>
        <w:ind w:left="720" w:hanging="360"/>
      </w:pPr>
      <w:rPr>
        <w:rFonts w:ascii="Times New Roman" w:eastAsia="Calibri" w:hAnsi="Times New Roman" w:cs="Times New Roman"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2" w15:restartNumberingAfterBreak="0">
    <w:nsid w:val="0E504611"/>
    <w:multiLevelType w:val="hybridMultilevel"/>
    <w:tmpl w:val="D93E9A14"/>
    <w:lvl w:ilvl="0" w:tplc="C7EC638E">
      <w:start w:val="1"/>
      <w:numFmt w:val="lowerLetter"/>
      <w:lvlText w:val="%1."/>
      <w:lvlJc w:val="left"/>
      <w:pPr>
        <w:ind w:left="2064" w:hanging="360"/>
      </w:pPr>
      <w:rPr>
        <w:rFonts w:hint="default"/>
      </w:rPr>
    </w:lvl>
    <w:lvl w:ilvl="1" w:tplc="10000019" w:tentative="1">
      <w:start w:val="1"/>
      <w:numFmt w:val="lowerLetter"/>
      <w:lvlText w:val="%2."/>
      <w:lvlJc w:val="left"/>
      <w:pPr>
        <w:ind w:left="2784" w:hanging="360"/>
      </w:pPr>
    </w:lvl>
    <w:lvl w:ilvl="2" w:tplc="1000001B" w:tentative="1">
      <w:start w:val="1"/>
      <w:numFmt w:val="lowerRoman"/>
      <w:lvlText w:val="%3."/>
      <w:lvlJc w:val="right"/>
      <w:pPr>
        <w:ind w:left="3504" w:hanging="180"/>
      </w:pPr>
    </w:lvl>
    <w:lvl w:ilvl="3" w:tplc="1000000F" w:tentative="1">
      <w:start w:val="1"/>
      <w:numFmt w:val="decimal"/>
      <w:lvlText w:val="%4."/>
      <w:lvlJc w:val="left"/>
      <w:pPr>
        <w:ind w:left="4224" w:hanging="360"/>
      </w:pPr>
    </w:lvl>
    <w:lvl w:ilvl="4" w:tplc="10000019" w:tentative="1">
      <w:start w:val="1"/>
      <w:numFmt w:val="lowerLetter"/>
      <w:lvlText w:val="%5."/>
      <w:lvlJc w:val="left"/>
      <w:pPr>
        <w:ind w:left="4944" w:hanging="360"/>
      </w:pPr>
    </w:lvl>
    <w:lvl w:ilvl="5" w:tplc="1000001B" w:tentative="1">
      <w:start w:val="1"/>
      <w:numFmt w:val="lowerRoman"/>
      <w:lvlText w:val="%6."/>
      <w:lvlJc w:val="right"/>
      <w:pPr>
        <w:ind w:left="5664" w:hanging="180"/>
      </w:pPr>
    </w:lvl>
    <w:lvl w:ilvl="6" w:tplc="1000000F" w:tentative="1">
      <w:start w:val="1"/>
      <w:numFmt w:val="decimal"/>
      <w:lvlText w:val="%7."/>
      <w:lvlJc w:val="left"/>
      <w:pPr>
        <w:ind w:left="6384" w:hanging="360"/>
      </w:pPr>
    </w:lvl>
    <w:lvl w:ilvl="7" w:tplc="10000019" w:tentative="1">
      <w:start w:val="1"/>
      <w:numFmt w:val="lowerLetter"/>
      <w:lvlText w:val="%8."/>
      <w:lvlJc w:val="left"/>
      <w:pPr>
        <w:ind w:left="7104" w:hanging="360"/>
      </w:pPr>
    </w:lvl>
    <w:lvl w:ilvl="8" w:tplc="1000001B" w:tentative="1">
      <w:start w:val="1"/>
      <w:numFmt w:val="lowerRoman"/>
      <w:lvlText w:val="%9."/>
      <w:lvlJc w:val="right"/>
      <w:pPr>
        <w:ind w:left="7824" w:hanging="180"/>
      </w:pPr>
    </w:lvl>
  </w:abstractNum>
  <w:abstractNum w:abstractNumId="3"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4" w15:restartNumberingAfterBreak="0">
    <w:nsid w:val="131949AF"/>
    <w:multiLevelType w:val="hybridMultilevel"/>
    <w:tmpl w:val="F4E2412C"/>
    <w:lvl w:ilvl="0" w:tplc="0DD28A6C">
      <w:start w:val="1"/>
      <w:numFmt w:val="lowerLetter"/>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5" w15:restartNumberingAfterBreak="0">
    <w:nsid w:val="135E3507"/>
    <w:multiLevelType w:val="hybridMultilevel"/>
    <w:tmpl w:val="D5CED7B6"/>
    <w:lvl w:ilvl="0" w:tplc="E66A2FBE">
      <w:start w:val="1"/>
      <w:numFmt w:val="lowerLetter"/>
      <w:lvlText w:val="%1."/>
      <w:lvlJc w:val="left"/>
      <w:pPr>
        <w:ind w:left="644" w:hanging="360"/>
      </w:pPr>
      <w:rPr>
        <w:rFonts w:hint="default"/>
      </w:rPr>
    </w:lvl>
    <w:lvl w:ilvl="1" w:tplc="040F0019" w:tentative="1">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6" w15:restartNumberingAfterBreak="0">
    <w:nsid w:val="13D92486"/>
    <w:multiLevelType w:val="hybridMultilevel"/>
    <w:tmpl w:val="D1D67EA8"/>
    <w:lvl w:ilvl="0" w:tplc="040F0001">
      <w:start w:val="1"/>
      <w:numFmt w:val="bullet"/>
      <w:lvlText w:val=""/>
      <w:lvlJc w:val="left"/>
      <w:pPr>
        <w:ind w:left="720" w:hanging="360"/>
      </w:pPr>
      <w:rPr>
        <w:rFonts w:ascii="Symbol" w:hAnsi="Symbol" w:hint="default"/>
      </w:rPr>
    </w:lvl>
    <w:lvl w:ilvl="1" w:tplc="040F0003">
      <w:start w:val="1"/>
      <w:numFmt w:val="bullet"/>
      <w:lvlText w:val="o"/>
      <w:lvlJc w:val="left"/>
      <w:pPr>
        <w:ind w:left="1440" w:hanging="360"/>
      </w:pPr>
      <w:rPr>
        <w:rFonts w:ascii="Courier New" w:hAnsi="Courier New" w:cs="Courier New" w:hint="default"/>
      </w:rPr>
    </w:lvl>
    <w:lvl w:ilvl="2" w:tplc="040F0005">
      <w:start w:val="1"/>
      <w:numFmt w:val="bullet"/>
      <w:lvlText w:val=""/>
      <w:lvlJc w:val="left"/>
      <w:pPr>
        <w:ind w:left="2160" w:hanging="360"/>
      </w:pPr>
      <w:rPr>
        <w:rFonts w:ascii="Wingdings" w:hAnsi="Wingdings" w:hint="default"/>
      </w:rPr>
    </w:lvl>
    <w:lvl w:ilvl="3" w:tplc="040F0001">
      <w:start w:val="1"/>
      <w:numFmt w:val="bullet"/>
      <w:lvlText w:val=""/>
      <w:lvlJc w:val="left"/>
      <w:pPr>
        <w:ind w:left="2880" w:hanging="360"/>
      </w:pPr>
      <w:rPr>
        <w:rFonts w:ascii="Symbol" w:hAnsi="Symbol" w:hint="default"/>
      </w:rPr>
    </w:lvl>
    <w:lvl w:ilvl="4" w:tplc="040F0003">
      <w:start w:val="1"/>
      <w:numFmt w:val="bullet"/>
      <w:lvlText w:val="o"/>
      <w:lvlJc w:val="left"/>
      <w:pPr>
        <w:ind w:left="3600" w:hanging="360"/>
      </w:pPr>
      <w:rPr>
        <w:rFonts w:ascii="Courier New" w:hAnsi="Courier New" w:cs="Courier New" w:hint="default"/>
      </w:rPr>
    </w:lvl>
    <w:lvl w:ilvl="5" w:tplc="040F0005">
      <w:start w:val="1"/>
      <w:numFmt w:val="bullet"/>
      <w:lvlText w:val=""/>
      <w:lvlJc w:val="left"/>
      <w:pPr>
        <w:ind w:left="4320" w:hanging="360"/>
      </w:pPr>
      <w:rPr>
        <w:rFonts w:ascii="Wingdings" w:hAnsi="Wingdings" w:hint="default"/>
      </w:rPr>
    </w:lvl>
    <w:lvl w:ilvl="6" w:tplc="040F0001">
      <w:start w:val="1"/>
      <w:numFmt w:val="bullet"/>
      <w:lvlText w:val=""/>
      <w:lvlJc w:val="left"/>
      <w:pPr>
        <w:ind w:left="5040" w:hanging="360"/>
      </w:pPr>
      <w:rPr>
        <w:rFonts w:ascii="Symbol" w:hAnsi="Symbol" w:hint="default"/>
      </w:rPr>
    </w:lvl>
    <w:lvl w:ilvl="7" w:tplc="040F0003">
      <w:start w:val="1"/>
      <w:numFmt w:val="bullet"/>
      <w:lvlText w:val="o"/>
      <w:lvlJc w:val="left"/>
      <w:pPr>
        <w:ind w:left="5760" w:hanging="360"/>
      </w:pPr>
      <w:rPr>
        <w:rFonts w:ascii="Courier New" w:hAnsi="Courier New" w:cs="Courier New" w:hint="default"/>
      </w:rPr>
    </w:lvl>
    <w:lvl w:ilvl="8" w:tplc="040F0005">
      <w:start w:val="1"/>
      <w:numFmt w:val="bullet"/>
      <w:lvlText w:val=""/>
      <w:lvlJc w:val="left"/>
      <w:pPr>
        <w:ind w:left="6480" w:hanging="360"/>
      </w:pPr>
      <w:rPr>
        <w:rFonts w:ascii="Wingdings" w:hAnsi="Wingdings" w:hint="default"/>
      </w:rPr>
    </w:lvl>
  </w:abstractNum>
  <w:abstractNum w:abstractNumId="7" w15:restartNumberingAfterBreak="0">
    <w:nsid w:val="16DE705C"/>
    <w:multiLevelType w:val="hybridMultilevel"/>
    <w:tmpl w:val="F4E2412C"/>
    <w:lvl w:ilvl="0" w:tplc="0DD28A6C">
      <w:start w:val="1"/>
      <w:numFmt w:val="lowerLetter"/>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8"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9" w15:restartNumberingAfterBreak="0">
    <w:nsid w:val="222D463D"/>
    <w:multiLevelType w:val="hybridMultilevel"/>
    <w:tmpl w:val="2AFA05BA"/>
    <w:lvl w:ilvl="0" w:tplc="DBD89A4E">
      <w:start w:val="1"/>
      <w:numFmt w:val="lowerLetter"/>
      <w:lvlText w:val="%1."/>
      <w:lvlJc w:val="left"/>
      <w:pPr>
        <w:ind w:left="2064" w:hanging="360"/>
      </w:pPr>
      <w:rPr>
        <w:rFonts w:hint="default"/>
      </w:rPr>
    </w:lvl>
    <w:lvl w:ilvl="1" w:tplc="10000019">
      <w:start w:val="1"/>
      <w:numFmt w:val="lowerLetter"/>
      <w:lvlText w:val="%2."/>
      <w:lvlJc w:val="left"/>
      <w:pPr>
        <w:ind w:left="2784" w:hanging="360"/>
      </w:pPr>
    </w:lvl>
    <w:lvl w:ilvl="2" w:tplc="0CBC0760">
      <w:start w:val="1"/>
      <w:numFmt w:val="lowerLetter"/>
      <w:lvlText w:val="%3."/>
      <w:lvlJc w:val="left"/>
      <w:pPr>
        <w:ind w:left="3684" w:hanging="360"/>
      </w:pPr>
      <w:rPr>
        <w:rFonts w:hint="default"/>
      </w:rPr>
    </w:lvl>
    <w:lvl w:ilvl="3" w:tplc="1000000F" w:tentative="1">
      <w:start w:val="1"/>
      <w:numFmt w:val="decimal"/>
      <w:lvlText w:val="%4."/>
      <w:lvlJc w:val="left"/>
      <w:pPr>
        <w:ind w:left="4224" w:hanging="360"/>
      </w:pPr>
    </w:lvl>
    <w:lvl w:ilvl="4" w:tplc="10000019" w:tentative="1">
      <w:start w:val="1"/>
      <w:numFmt w:val="lowerLetter"/>
      <w:lvlText w:val="%5."/>
      <w:lvlJc w:val="left"/>
      <w:pPr>
        <w:ind w:left="4944" w:hanging="360"/>
      </w:pPr>
    </w:lvl>
    <w:lvl w:ilvl="5" w:tplc="1000001B" w:tentative="1">
      <w:start w:val="1"/>
      <w:numFmt w:val="lowerRoman"/>
      <w:lvlText w:val="%6."/>
      <w:lvlJc w:val="right"/>
      <w:pPr>
        <w:ind w:left="5664" w:hanging="180"/>
      </w:pPr>
    </w:lvl>
    <w:lvl w:ilvl="6" w:tplc="1000000F" w:tentative="1">
      <w:start w:val="1"/>
      <w:numFmt w:val="decimal"/>
      <w:lvlText w:val="%7."/>
      <w:lvlJc w:val="left"/>
      <w:pPr>
        <w:ind w:left="6384" w:hanging="360"/>
      </w:pPr>
    </w:lvl>
    <w:lvl w:ilvl="7" w:tplc="10000019" w:tentative="1">
      <w:start w:val="1"/>
      <w:numFmt w:val="lowerLetter"/>
      <w:lvlText w:val="%8."/>
      <w:lvlJc w:val="left"/>
      <w:pPr>
        <w:ind w:left="7104" w:hanging="360"/>
      </w:pPr>
    </w:lvl>
    <w:lvl w:ilvl="8" w:tplc="1000001B" w:tentative="1">
      <w:start w:val="1"/>
      <w:numFmt w:val="lowerRoman"/>
      <w:lvlText w:val="%9."/>
      <w:lvlJc w:val="right"/>
      <w:pPr>
        <w:ind w:left="7824" w:hanging="180"/>
      </w:pPr>
    </w:lvl>
  </w:abstractNum>
  <w:abstractNum w:abstractNumId="10" w15:restartNumberingAfterBreak="0">
    <w:nsid w:val="298168F5"/>
    <w:multiLevelType w:val="hybridMultilevel"/>
    <w:tmpl w:val="D6622EA8"/>
    <w:lvl w:ilvl="0" w:tplc="3C3C1220">
      <w:start w:val="1"/>
      <w:numFmt w:val="lowerLetter"/>
      <w:lvlText w:val="%1."/>
      <w:lvlJc w:val="left"/>
      <w:pPr>
        <w:ind w:left="1212" w:hanging="360"/>
      </w:pPr>
      <w:rPr>
        <w:rFonts w:hint="default"/>
      </w:rPr>
    </w:lvl>
    <w:lvl w:ilvl="1" w:tplc="040F0019" w:tentative="1">
      <w:start w:val="1"/>
      <w:numFmt w:val="lowerLetter"/>
      <w:lvlText w:val="%2."/>
      <w:lvlJc w:val="left"/>
      <w:pPr>
        <w:ind w:left="1932" w:hanging="360"/>
      </w:pPr>
    </w:lvl>
    <w:lvl w:ilvl="2" w:tplc="040F001B" w:tentative="1">
      <w:start w:val="1"/>
      <w:numFmt w:val="lowerRoman"/>
      <w:lvlText w:val="%3."/>
      <w:lvlJc w:val="right"/>
      <w:pPr>
        <w:ind w:left="2652" w:hanging="180"/>
      </w:pPr>
    </w:lvl>
    <w:lvl w:ilvl="3" w:tplc="040F000F" w:tentative="1">
      <w:start w:val="1"/>
      <w:numFmt w:val="decimal"/>
      <w:lvlText w:val="%4."/>
      <w:lvlJc w:val="left"/>
      <w:pPr>
        <w:ind w:left="3372" w:hanging="360"/>
      </w:pPr>
    </w:lvl>
    <w:lvl w:ilvl="4" w:tplc="040F0019" w:tentative="1">
      <w:start w:val="1"/>
      <w:numFmt w:val="lowerLetter"/>
      <w:lvlText w:val="%5."/>
      <w:lvlJc w:val="left"/>
      <w:pPr>
        <w:ind w:left="4092" w:hanging="360"/>
      </w:pPr>
    </w:lvl>
    <w:lvl w:ilvl="5" w:tplc="040F001B" w:tentative="1">
      <w:start w:val="1"/>
      <w:numFmt w:val="lowerRoman"/>
      <w:lvlText w:val="%6."/>
      <w:lvlJc w:val="right"/>
      <w:pPr>
        <w:ind w:left="4812" w:hanging="180"/>
      </w:pPr>
    </w:lvl>
    <w:lvl w:ilvl="6" w:tplc="040F000F" w:tentative="1">
      <w:start w:val="1"/>
      <w:numFmt w:val="decimal"/>
      <w:lvlText w:val="%7."/>
      <w:lvlJc w:val="left"/>
      <w:pPr>
        <w:ind w:left="5532" w:hanging="360"/>
      </w:pPr>
    </w:lvl>
    <w:lvl w:ilvl="7" w:tplc="040F0019" w:tentative="1">
      <w:start w:val="1"/>
      <w:numFmt w:val="lowerLetter"/>
      <w:lvlText w:val="%8."/>
      <w:lvlJc w:val="left"/>
      <w:pPr>
        <w:ind w:left="6252" w:hanging="360"/>
      </w:pPr>
    </w:lvl>
    <w:lvl w:ilvl="8" w:tplc="040F001B" w:tentative="1">
      <w:start w:val="1"/>
      <w:numFmt w:val="lowerRoman"/>
      <w:lvlText w:val="%9."/>
      <w:lvlJc w:val="right"/>
      <w:pPr>
        <w:ind w:left="6972" w:hanging="180"/>
      </w:pPr>
    </w:lvl>
  </w:abstractNum>
  <w:abstractNum w:abstractNumId="11"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12"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13" w15:restartNumberingAfterBreak="0">
    <w:nsid w:val="2CF03F5E"/>
    <w:multiLevelType w:val="hybridMultilevel"/>
    <w:tmpl w:val="C77EBE8C"/>
    <w:lvl w:ilvl="0" w:tplc="9B2ED1D0">
      <w:start w:val="1"/>
      <w:numFmt w:val="decimal"/>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14" w15:restartNumberingAfterBreak="0">
    <w:nsid w:val="2F0E60B5"/>
    <w:multiLevelType w:val="hybridMultilevel"/>
    <w:tmpl w:val="E816470A"/>
    <w:lvl w:ilvl="0" w:tplc="10000019">
      <w:start w:val="10"/>
      <w:numFmt w:val="lowerLetter"/>
      <w:lvlText w:val="%1."/>
      <w:lvlJc w:val="left"/>
      <w:pPr>
        <w:ind w:left="928" w:hanging="360"/>
      </w:pPr>
      <w:rPr>
        <w:rFonts w:hint="default"/>
      </w:rPr>
    </w:lvl>
    <w:lvl w:ilvl="1" w:tplc="10000019" w:tentative="1">
      <w:start w:val="1"/>
      <w:numFmt w:val="lowerLetter"/>
      <w:lvlText w:val="%2."/>
      <w:lvlJc w:val="left"/>
      <w:pPr>
        <w:ind w:left="1648" w:hanging="360"/>
      </w:pPr>
    </w:lvl>
    <w:lvl w:ilvl="2" w:tplc="1000001B" w:tentative="1">
      <w:start w:val="1"/>
      <w:numFmt w:val="lowerRoman"/>
      <w:lvlText w:val="%3."/>
      <w:lvlJc w:val="right"/>
      <w:pPr>
        <w:ind w:left="2368" w:hanging="180"/>
      </w:pPr>
    </w:lvl>
    <w:lvl w:ilvl="3" w:tplc="1000000F" w:tentative="1">
      <w:start w:val="1"/>
      <w:numFmt w:val="decimal"/>
      <w:lvlText w:val="%4."/>
      <w:lvlJc w:val="left"/>
      <w:pPr>
        <w:ind w:left="3088" w:hanging="360"/>
      </w:pPr>
    </w:lvl>
    <w:lvl w:ilvl="4" w:tplc="10000019" w:tentative="1">
      <w:start w:val="1"/>
      <w:numFmt w:val="lowerLetter"/>
      <w:lvlText w:val="%5."/>
      <w:lvlJc w:val="left"/>
      <w:pPr>
        <w:ind w:left="3808" w:hanging="360"/>
      </w:pPr>
    </w:lvl>
    <w:lvl w:ilvl="5" w:tplc="1000001B" w:tentative="1">
      <w:start w:val="1"/>
      <w:numFmt w:val="lowerRoman"/>
      <w:lvlText w:val="%6."/>
      <w:lvlJc w:val="right"/>
      <w:pPr>
        <w:ind w:left="4528" w:hanging="180"/>
      </w:pPr>
    </w:lvl>
    <w:lvl w:ilvl="6" w:tplc="1000000F" w:tentative="1">
      <w:start w:val="1"/>
      <w:numFmt w:val="decimal"/>
      <w:lvlText w:val="%7."/>
      <w:lvlJc w:val="left"/>
      <w:pPr>
        <w:ind w:left="5248" w:hanging="360"/>
      </w:pPr>
    </w:lvl>
    <w:lvl w:ilvl="7" w:tplc="10000019" w:tentative="1">
      <w:start w:val="1"/>
      <w:numFmt w:val="lowerLetter"/>
      <w:lvlText w:val="%8."/>
      <w:lvlJc w:val="left"/>
      <w:pPr>
        <w:ind w:left="5968" w:hanging="360"/>
      </w:pPr>
    </w:lvl>
    <w:lvl w:ilvl="8" w:tplc="1000001B" w:tentative="1">
      <w:start w:val="1"/>
      <w:numFmt w:val="lowerRoman"/>
      <w:lvlText w:val="%9."/>
      <w:lvlJc w:val="right"/>
      <w:pPr>
        <w:ind w:left="6688" w:hanging="180"/>
      </w:pPr>
    </w:lvl>
  </w:abstractNum>
  <w:abstractNum w:abstractNumId="15" w15:restartNumberingAfterBreak="0">
    <w:nsid w:val="3CB523E3"/>
    <w:multiLevelType w:val="hybridMultilevel"/>
    <w:tmpl w:val="221A9290"/>
    <w:lvl w:ilvl="0" w:tplc="A2A8980A">
      <w:start w:val="5"/>
      <w:numFmt w:val="bullet"/>
      <w:lvlText w:val="-"/>
      <w:lvlJc w:val="left"/>
      <w:pPr>
        <w:ind w:left="720" w:hanging="360"/>
      </w:pPr>
      <w:rPr>
        <w:rFonts w:ascii="Times New Roman" w:eastAsia="Calibri" w:hAnsi="Times New Roman" w:cs="Times New Roman"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16" w15:restartNumberingAfterBreak="0">
    <w:nsid w:val="410C2DBF"/>
    <w:multiLevelType w:val="hybridMultilevel"/>
    <w:tmpl w:val="AC84E6F4"/>
    <w:lvl w:ilvl="0" w:tplc="D8DCE888">
      <w:start w:val="1"/>
      <w:numFmt w:val="lowerRoman"/>
      <w:lvlText w:val="%1."/>
      <w:lvlJc w:val="left"/>
      <w:pPr>
        <w:ind w:left="1288" w:hanging="720"/>
      </w:pPr>
      <w:rPr>
        <w:rFonts w:ascii="Times New Roman" w:eastAsia="Calibri" w:hAnsi="Times New Roman" w:cs="Times New Roman"/>
      </w:rPr>
    </w:lvl>
    <w:lvl w:ilvl="1" w:tplc="040F0019" w:tentative="1">
      <w:start w:val="1"/>
      <w:numFmt w:val="lowerLetter"/>
      <w:lvlText w:val="%2."/>
      <w:lvlJc w:val="left"/>
      <w:pPr>
        <w:ind w:left="1648" w:hanging="360"/>
      </w:pPr>
    </w:lvl>
    <w:lvl w:ilvl="2" w:tplc="040F001B" w:tentative="1">
      <w:start w:val="1"/>
      <w:numFmt w:val="lowerRoman"/>
      <w:lvlText w:val="%3."/>
      <w:lvlJc w:val="right"/>
      <w:pPr>
        <w:ind w:left="2368" w:hanging="180"/>
      </w:pPr>
    </w:lvl>
    <w:lvl w:ilvl="3" w:tplc="040F000F" w:tentative="1">
      <w:start w:val="1"/>
      <w:numFmt w:val="decimal"/>
      <w:lvlText w:val="%4."/>
      <w:lvlJc w:val="left"/>
      <w:pPr>
        <w:ind w:left="3088" w:hanging="360"/>
      </w:pPr>
    </w:lvl>
    <w:lvl w:ilvl="4" w:tplc="040F0019" w:tentative="1">
      <w:start w:val="1"/>
      <w:numFmt w:val="lowerLetter"/>
      <w:lvlText w:val="%5."/>
      <w:lvlJc w:val="left"/>
      <w:pPr>
        <w:ind w:left="3808" w:hanging="360"/>
      </w:pPr>
    </w:lvl>
    <w:lvl w:ilvl="5" w:tplc="040F001B" w:tentative="1">
      <w:start w:val="1"/>
      <w:numFmt w:val="lowerRoman"/>
      <w:lvlText w:val="%6."/>
      <w:lvlJc w:val="right"/>
      <w:pPr>
        <w:ind w:left="4528" w:hanging="180"/>
      </w:pPr>
    </w:lvl>
    <w:lvl w:ilvl="6" w:tplc="040F000F" w:tentative="1">
      <w:start w:val="1"/>
      <w:numFmt w:val="decimal"/>
      <w:lvlText w:val="%7."/>
      <w:lvlJc w:val="left"/>
      <w:pPr>
        <w:ind w:left="5248" w:hanging="360"/>
      </w:pPr>
    </w:lvl>
    <w:lvl w:ilvl="7" w:tplc="040F0019" w:tentative="1">
      <w:start w:val="1"/>
      <w:numFmt w:val="lowerLetter"/>
      <w:lvlText w:val="%8."/>
      <w:lvlJc w:val="left"/>
      <w:pPr>
        <w:ind w:left="5968" w:hanging="360"/>
      </w:pPr>
    </w:lvl>
    <w:lvl w:ilvl="8" w:tplc="040F001B" w:tentative="1">
      <w:start w:val="1"/>
      <w:numFmt w:val="lowerRoman"/>
      <w:lvlText w:val="%9."/>
      <w:lvlJc w:val="right"/>
      <w:pPr>
        <w:ind w:left="6688" w:hanging="180"/>
      </w:pPr>
    </w:lvl>
  </w:abstractNum>
  <w:abstractNum w:abstractNumId="17"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18" w15:restartNumberingAfterBreak="0">
    <w:nsid w:val="4C1B5FEE"/>
    <w:multiLevelType w:val="hybridMultilevel"/>
    <w:tmpl w:val="CB1C7012"/>
    <w:lvl w:ilvl="0" w:tplc="040F0001">
      <w:start w:val="1"/>
      <w:numFmt w:val="bullet"/>
      <w:lvlText w:val=""/>
      <w:lvlJc w:val="left"/>
      <w:pPr>
        <w:ind w:left="1004" w:hanging="360"/>
      </w:pPr>
      <w:rPr>
        <w:rFonts w:ascii="Symbol" w:hAnsi="Symbol" w:hint="default"/>
      </w:rPr>
    </w:lvl>
    <w:lvl w:ilvl="1" w:tplc="040F0003" w:tentative="1">
      <w:start w:val="1"/>
      <w:numFmt w:val="bullet"/>
      <w:lvlText w:val="o"/>
      <w:lvlJc w:val="left"/>
      <w:pPr>
        <w:ind w:left="1724" w:hanging="360"/>
      </w:pPr>
      <w:rPr>
        <w:rFonts w:ascii="Courier New" w:hAnsi="Courier New" w:cs="Courier New" w:hint="default"/>
      </w:rPr>
    </w:lvl>
    <w:lvl w:ilvl="2" w:tplc="040F0005" w:tentative="1">
      <w:start w:val="1"/>
      <w:numFmt w:val="bullet"/>
      <w:lvlText w:val=""/>
      <w:lvlJc w:val="left"/>
      <w:pPr>
        <w:ind w:left="2444" w:hanging="360"/>
      </w:pPr>
      <w:rPr>
        <w:rFonts w:ascii="Wingdings" w:hAnsi="Wingdings" w:hint="default"/>
      </w:rPr>
    </w:lvl>
    <w:lvl w:ilvl="3" w:tplc="040F0001" w:tentative="1">
      <w:start w:val="1"/>
      <w:numFmt w:val="bullet"/>
      <w:lvlText w:val=""/>
      <w:lvlJc w:val="left"/>
      <w:pPr>
        <w:ind w:left="3164" w:hanging="360"/>
      </w:pPr>
      <w:rPr>
        <w:rFonts w:ascii="Symbol" w:hAnsi="Symbol" w:hint="default"/>
      </w:rPr>
    </w:lvl>
    <w:lvl w:ilvl="4" w:tplc="040F0003" w:tentative="1">
      <w:start w:val="1"/>
      <w:numFmt w:val="bullet"/>
      <w:lvlText w:val="o"/>
      <w:lvlJc w:val="left"/>
      <w:pPr>
        <w:ind w:left="3884" w:hanging="360"/>
      </w:pPr>
      <w:rPr>
        <w:rFonts w:ascii="Courier New" w:hAnsi="Courier New" w:cs="Courier New" w:hint="default"/>
      </w:rPr>
    </w:lvl>
    <w:lvl w:ilvl="5" w:tplc="040F0005" w:tentative="1">
      <w:start w:val="1"/>
      <w:numFmt w:val="bullet"/>
      <w:lvlText w:val=""/>
      <w:lvlJc w:val="left"/>
      <w:pPr>
        <w:ind w:left="4604" w:hanging="360"/>
      </w:pPr>
      <w:rPr>
        <w:rFonts w:ascii="Wingdings" w:hAnsi="Wingdings" w:hint="default"/>
      </w:rPr>
    </w:lvl>
    <w:lvl w:ilvl="6" w:tplc="040F0001" w:tentative="1">
      <w:start w:val="1"/>
      <w:numFmt w:val="bullet"/>
      <w:lvlText w:val=""/>
      <w:lvlJc w:val="left"/>
      <w:pPr>
        <w:ind w:left="5324" w:hanging="360"/>
      </w:pPr>
      <w:rPr>
        <w:rFonts w:ascii="Symbol" w:hAnsi="Symbol" w:hint="default"/>
      </w:rPr>
    </w:lvl>
    <w:lvl w:ilvl="7" w:tplc="040F0003" w:tentative="1">
      <w:start w:val="1"/>
      <w:numFmt w:val="bullet"/>
      <w:lvlText w:val="o"/>
      <w:lvlJc w:val="left"/>
      <w:pPr>
        <w:ind w:left="6044" w:hanging="360"/>
      </w:pPr>
      <w:rPr>
        <w:rFonts w:ascii="Courier New" w:hAnsi="Courier New" w:cs="Courier New" w:hint="default"/>
      </w:rPr>
    </w:lvl>
    <w:lvl w:ilvl="8" w:tplc="040F0005" w:tentative="1">
      <w:start w:val="1"/>
      <w:numFmt w:val="bullet"/>
      <w:lvlText w:val=""/>
      <w:lvlJc w:val="left"/>
      <w:pPr>
        <w:ind w:left="6764" w:hanging="360"/>
      </w:pPr>
      <w:rPr>
        <w:rFonts w:ascii="Wingdings" w:hAnsi="Wingdings" w:hint="default"/>
      </w:rPr>
    </w:lvl>
  </w:abstractNum>
  <w:abstractNum w:abstractNumId="19" w15:restartNumberingAfterBreak="0">
    <w:nsid w:val="558D5D29"/>
    <w:multiLevelType w:val="hybridMultilevel"/>
    <w:tmpl w:val="B47203C2"/>
    <w:lvl w:ilvl="0" w:tplc="3B1854DA">
      <w:start w:val="1"/>
      <w:numFmt w:val="lowerLetter"/>
      <w:lvlText w:val="%1."/>
      <w:lvlJc w:val="left"/>
      <w:pPr>
        <w:ind w:left="692" w:hanging="360"/>
      </w:pPr>
      <w:rPr>
        <w:rFonts w:hint="default"/>
      </w:rPr>
    </w:lvl>
    <w:lvl w:ilvl="1" w:tplc="10000019">
      <w:start w:val="1"/>
      <w:numFmt w:val="lowerLetter"/>
      <w:lvlText w:val="%2."/>
      <w:lvlJc w:val="left"/>
      <w:pPr>
        <w:ind w:left="1412" w:hanging="360"/>
      </w:pPr>
    </w:lvl>
    <w:lvl w:ilvl="2" w:tplc="1000001B" w:tentative="1">
      <w:start w:val="1"/>
      <w:numFmt w:val="lowerRoman"/>
      <w:lvlText w:val="%3."/>
      <w:lvlJc w:val="right"/>
      <w:pPr>
        <w:ind w:left="2132" w:hanging="180"/>
      </w:pPr>
    </w:lvl>
    <w:lvl w:ilvl="3" w:tplc="1000000F" w:tentative="1">
      <w:start w:val="1"/>
      <w:numFmt w:val="decimal"/>
      <w:lvlText w:val="%4."/>
      <w:lvlJc w:val="left"/>
      <w:pPr>
        <w:ind w:left="2852" w:hanging="360"/>
      </w:pPr>
    </w:lvl>
    <w:lvl w:ilvl="4" w:tplc="10000019" w:tentative="1">
      <w:start w:val="1"/>
      <w:numFmt w:val="lowerLetter"/>
      <w:lvlText w:val="%5."/>
      <w:lvlJc w:val="left"/>
      <w:pPr>
        <w:ind w:left="3572" w:hanging="360"/>
      </w:pPr>
    </w:lvl>
    <w:lvl w:ilvl="5" w:tplc="1000001B" w:tentative="1">
      <w:start w:val="1"/>
      <w:numFmt w:val="lowerRoman"/>
      <w:lvlText w:val="%6."/>
      <w:lvlJc w:val="right"/>
      <w:pPr>
        <w:ind w:left="4292" w:hanging="180"/>
      </w:pPr>
    </w:lvl>
    <w:lvl w:ilvl="6" w:tplc="1000000F" w:tentative="1">
      <w:start w:val="1"/>
      <w:numFmt w:val="decimal"/>
      <w:lvlText w:val="%7."/>
      <w:lvlJc w:val="left"/>
      <w:pPr>
        <w:ind w:left="5012" w:hanging="360"/>
      </w:pPr>
    </w:lvl>
    <w:lvl w:ilvl="7" w:tplc="10000019" w:tentative="1">
      <w:start w:val="1"/>
      <w:numFmt w:val="lowerLetter"/>
      <w:lvlText w:val="%8."/>
      <w:lvlJc w:val="left"/>
      <w:pPr>
        <w:ind w:left="5732" w:hanging="360"/>
      </w:pPr>
    </w:lvl>
    <w:lvl w:ilvl="8" w:tplc="1000001B" w:tentative="1">
      <w:start w:val="1"/>
      <w:numFmt w:val="lowerRoman"/>
      <w:lvlText w:val="%9."/>
      <w:lvlJc w:val="right"/>
      <w:pPr>
        <w:ind w:left="6452" w:hanging="180"/>
      </w:pPr>
    </w:lvl>
  </w:abstractNum>
  <w:abstractNum w:abstractNumId="20" w15:restartNumberingAfterBreak="0">
    <w:nsid w:val="64F26356"/>
    <w:multiLevelType w:val="hybridMultilevel"/>
    <w:tmpl w:val="3CF2638E"/>
    <w:lvl w:ilvl="0" w:tplc="040F0001">
      <w:start w:val="1"/>
      <w:numFmt w:val="bullet"/>
      <w:lvlText w:val=""/>
      <w:lvlJc w:val="left"/>
      <w:pPr>
        <w:ind w:left="1004" w:hanging="360"/>
      </w:pPr>
      <w:rPr>
        <w:rFonts w:ascii="Symbol" w:hAnsi="Symbol" w:hint="default"/>
      </w:rPr>
    </w:lvl>
    <w:lvl w:ilvl="1" w:tplc="040F0003" w:tentative="1">
      <w:start w:val="1"/>
      <w:numFmt w:val="bullet"/>
      <w:lvlText w:val="o"/>
      <w:lvlJc w:val="left"/>
      <w:pPr>
        <w:ind w:left="1724" w:hanging="360"/>
      </w:pPr>
      <w:rPr>
        <w:rFonts w:ascii="Courier New" w:hAnsi="Courier New" w:cs="Courier New" w:hint="default"/>
      </w:rPr>
    </w:lvl>
    <w:lvl w:ilvl="2" w:tplc="040F0005" w:tentative="1">
      <w:start w:val="1"/>
      <w:numFmt w:val="bullet"/>
      <w:lvlText w:val=""/>
      <w:lvlJc w:val="left"/>
      <w:pPr>
        <w:ind w:left="2444" w:hanging="360"/>
      </w:pPr>
      <w:rPr>
        <w:rFonts w:ascii="Wingdings" w:hAnsi="Wingdings" w:hint="default"/>
      </w:rPr>
    </w:lvl>
    <w:lvl w:ilvl="3" w:tplc="040F0001" w:tentative="1">
      <w:start w:val="1"/>
      <w:numFmt w:val="bullet"/>
      <w:lvlText w:val=""/>
      <w:lvlJc w:val="left"/>
      <w:pPr>
        <w:ind w:left="3164" w:hanging="360"/>
      </w:pPr>
      <w:rPr>
        <w:rFonts w:ascii="Symbol" w:hAnsi="Symbol" w:hint="default"/>
      </w:rPr>
    </w:lvl>
    <w:lvl w:ilvl="4" w:tplc="040F0003" w:tentative="1">
      <w:start w:val="1"/>
      <w:numFmt w:val="bullet"/>
      <w:lvlText w:val="o"/>
      <w:lvlJc w:val="left"/>
      <w:pPr>
        <w:ind w:left="3884" w:hanging="360"/>
      </w:pPr>
      <w:rPr>
        <w:rFonts w:ascii="Courier New" w:hAnsi="Courier New" w:cs="Courier New" w:hint="default"/>
      </w:rPr>
    </w:lvl>
    <w:lvl w:ilvl="5" w:tplc="040F0005" w:tentative="1">
      <w:start w:val="1"/>
      <w:numFmt w:val="bullet"/>
      <w:lvlText w:val=""/>
      <w:lvlJc w:val="left"/>
      <w:pPr>
        <w:ind w:left="4604" w:hanging="360"/>
      </w:pPr>
      <w:rPr>
        <w:rFonts w:ascii="Wingdings" w:hAnsi="Wingdings" w:hint="default"/>
      </w:rPr>
    </w:lvl>
    <w:lvl w:ilvl="6" w:tplc="040F0001" w:tentative="1">
      <w:start w:val="1"/>
      <w:numFmt w:val="bullet"/>
      <w:lvlText w:val=""/>
      <w:lvlJc w:val="left"/>
      <w:pPr>
        <w:ind w:left="5324" w:hanging="360"/>
      </w:pPr>
      <w:rPr>
        <w:rFonts w:ascii="Symbol" w:hAnsi="Symbol" w:hint="default"/>
      </w:rPr>
    </w:lvl>
    <w:lvl w:ilvl="7" w:tplc="040F0003" w:tentative="1">
      <w:start w:val="1"/>
      <w:numFmt w:val="bullet"/>
      <w:lvlText w:val="o"/>
      <w:lvlJc w:val="left"/>
      <w:pPr>
        <w:ind w:left="6044" w:hanging="360"/>
      </w:pPr>
      <w:rPr>
        <w:rFonts w:ascii="Courier New" w:hAnsi="Courier New" w:cs="Courier New" w:hint="default"/>
      </w:rPr>
    </w:lvl>
    <w:lvl w:ilvl="8" w:tplc="040F0005" w:tentative="1">
      <w:start w:val="1"/>
      <w:numFmt w:val="bullet"/>
      <w:lvlText w:val=""/>
      <w:lvlJc w:val="left"/>
      <w:pPr>
        <w:ind w:left="6764" w:hanging="360"/>
      </w:pPr>
      <w:rPr>
        <w:rFonts w:ascii="Wingdings" w:hAnsi="Wingdings" w:hint="default"/>
      </w:rPr>
    </w:lvl>
  </w:abstractNum>
  <w:abstractNum w:abstractNumId="21" w15:restartNumberingAfterBreak="0">
    <w:nsid w:val="65E83801"/>
    <w:multiLevelType w:val="hybridMultilevel"/>
    <w:tmpl w:val="14266BFE"/>
    <w:lvl w:ilvl="0" w:tplc="040F000F">
      <w:start w:val="1"/>
      <w:numFmt w:val="decimal"/>
      <w:lvlText w:val="%1."/>
      <w:lvlJc w:val="left"/>
      <w:pPr>
        <w:ind w:left="720" w:hanging="360"/>
      </w:pPr>
    </w:lvl>
    <w:lvl w:ilvl="1" w:tplc="040F0019">
      <w:start w:val="1"/>
      <w:numFmt w:val="lowerLetter"/>
      <w:lvlText w:val="%2."/>
      <w:lvlJc w:val="left"/>
      <w:pPr>
        <w:ind w:left="1440" w:hanging="360"/>
      </w:pPr>
    </w:lvl>
    <w:lvl w:ilvl="2" w:tplc="040F001B">
      <w:start w:val="1"/>
      <w:numFmt w:val="lowerRoman"/>
      <w:lvlText w:val="%3."/>
      <w:lvlJc w:val="right"/>
      <w:pPr>
        <w:ind w:left="2160" w:hanging="180"/>
      </w:pPr>
    </w:lvl>
    <w:lvl w:ilvl="3" w:tplc="040F000F">
      <w:start w:val="1"/>
      <w:numFmt w:val="decimal"/>
      <w:lvlText w:val="%4."/>
      <w:lvlJc w:val="left"/>
      <w:pPr>
        <w:ind w:left="2880" w:hanging="360"/>
      </w:pPr>
    </w:lvl>
    <w:lvl w:ilvl="4" w:tplc="040F0019">
      <w:start w:val="1"/>
      <w:numFmt w:val="lowerLetter"/>
      <w:lvlText w:val="%5."/>
      <w:lvlJc w:val="left"/>
      <w:pPr>
        <w:ind w:left="3600" w:hanging="360"/>
      </w:pPr>
    </w:lvl>
    <w:lvl w:ilvl="5" w:tplc="040F001B">
      <w:start w:val="1"/>
      <w:numFmt w:val="lowerRoman"/>
      <w:lvlText w:val="%6."/>
      <w:lvlJc w:val="right"/>
      <w:pPr>
        <w:ind w:left="4320" w:hanging="180"/>
      </w:pPr>
    </w:lvl>
    <w:lvl w:ilvl="6" w:tplc="040F000F">
      <w:start w:val="1"/>
      <w:numFmt w:val="decimal"/>
      <w:lvlText w:val="%7."/>
      <w:lvlJc w:val="left"/>
      <w:pPr>
        <w:ind w:left="5040" w:hanging="360"/>
      </w:pPr>
    </w:lvl>
    <w:lvl w:ilvl="7" w:tplc="040F0019">
      <w:start w:val="1"/>
      <w:numFmt w:val="lowerLetter"/>
      <w:lvlText w:val="%8."/>
      <w:lvlJc w:val="left"/>
      <w:pPr>
        <w:ind w:left="5760" w:hanging="360"/>
      </w:pPr>
    </w:lvl>
    <w:lvl w:ilvl="8" w:tplc="040F001B">
      <w:start w:val="1"/>
      <w:numFmt w:val="lowerRoman"/>
      <w:lvlText w:val="%9."/>
      <w:lvlJc w:val="right"/>
      <w:pPr>
        <w:ind w:left="6480" w:hanging="180"/>
      </w:pPr>
    </w:lvl>
  </w:abstractNum>
  <w:abstractNum w:abstractNumId="22" w15:restartNumberingAfterBreak="0">
    <w:nsid w:val="6EAF0FA6"/>
    <w:multiLevelType w:val="hybridMultilevel"/>
    <w:tmpl w:val="926EEFB2"/>
    <w:lvl w:ilvl="0" w:tplc="AACE0C48">
      <w:start w:val="1"/>
      <w:numFmt w:val="lowerLetter"/>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23"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24" w15:restartNumberingAfterBreak="0">
    <w:nsid w:val="71B457D1"/>
    <w:multiLevelType w:val="hybridMultilevel"/>
    <w:tmpl w:val="B6D0EDDE"/>
    <w:lvl w:ilvl="0" w:tplc="E66A2FBE">
      <w:start w:val="1"/>
      <w:numFmt w:val="lowerLetter"/>
      <w:lvlText w:val="%1."/>
      <w:lvlJc w:val="left"/>
      <w:pPr>
        <w:ind w:left="644" w:hanging="360"/>
      </w:pPr>
      <w:rPr>
        <w:rFonts w:hint="default"/>
      </w:rPr>
    </w:lvl>
    <w:lvl w:ilvl="1" w:tplc="040F0019">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25" w15:restartNumberingAfterBreak="0">
    <w:nsid w:val="71E1225B"/>
    <w:multiLevelType w:val="hybridMultilevel"/>
    <w:tmpl w:val="7362FC94"/>
    <w:lvl w:ilvl="0" w:tplc="10000019">
      <w:start w:val="1"/>
      <w:numFmt w:val="lowerLetter"/>
      <w:lvlText w:val="%1."/>
      <w:lvlJc w:val="left"/>
      <w:pPr>
        <w:ind w:left="720" w:hanging="360"/>
      </w:pPr>
    </w:lvl>
    <w:lvl w:ilvl="1" w:tplc="10000019">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6" w15:restartNumberingAfterBreak="0">
    <w:nsid w:val="73460F85"/>
    <w:multiLevelType w:val="hybridMultilevel"/>
    <w:tmpl w:val="F4D087CA"/>
    <w:lvl w:ilvl="0" w:tplc="10000019">
      <w:start w:val="1"/>
      <w:numFmt w:val="lowerLetter"/>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7" w15:restartNumberingAfterBreak="0">
    <w:nsid w:val="794802C5"/>
    <w:multiLevelType w:val="hybridMultilevel"/>
    <w:tmpl w:val="9B4067F0"/>
    <w:lvl w:ilvl="0" w:tplc="E2F8FFA6">
      <w:start w:val="1"/>
      <w:numFmt w:val="lowerLetter"/>
      <w:lvlText w:val="%1."/>
      <w:lvlJc w:val="left"/>
      <w:pPr>
        <w:ind w:left="648" w:hanging="360"/>
      </w:pPr>
      <w:rPr>
        <w:rFonts w:hint="default"/>
      </w:rPr>
    </w:lvl>
    <w:lvl w:ilvl="1" w:tplc="10000019">
      <w:start w:val="1"/>
      <w:numFmt w:val="lowerLetter"/>
      <w:lvlText w:val="%2."/>
      <w:lvlJc w:val="left"/>
      <w:pPr>
        <w:ind w:left="1368" w:hanging="360"/>
      </w:pPr>
    </w:lvl>
    <w:lvl w:ilvl="2" w:tplc="1000001B" w:tentative="1">
      <w:start w:val="1"/>
      <w:numFmt w:val="lowerRoman"/>
      <w:lvlText w:val="%3."/>
      <w:lvlJc w:val="right"/>
      <w:pPr>
        <w:ind w:left="2088" w:hanging="180"/>
      </w:pPr>
    </w:lvl>
    <w:lvl w:ilvl="3" w:tplc="1000000F" w:tentative="1">
      <w:start w:val="1"/>
      <w:numFmt w:val="decimal"/>
      <w:lvlText w:val="%4."/>
      <w:lvlJc w:val="left"/>
      <w:pPr>
        <w:ind w:left="2808" w:hanging="360"/>
      </w:pPr>
    </w:lvl>
    <w:lvl w:ilvl="4" w:tplc="10000019" w:tentative="1">
      <w:start w:val="1"/>
      <w:numFmt w:val="lowerLetter"/>
      <w:lvlText w:val="%5."/>
      <w:lvlJc w:val="left"/>
      <w:pPr>
        <w:ind w:left="3528" w:hanging="360"/>
      </w:pPr>
    </w:lvl>
    <w:lvl w:ilvl="5" w:tplc="1000001B" w:tentative="1">
      <w:start w:val="1"/>
      <w:numFmt w:val="lowerRoman"/>
      <w:lvlText w:val="%6."/>
      <w:lvlJc w:val="right"/>
      <w:pPr>
        <w:ind w:left="4248" w:hanging="180"/>
      </w:pPr>
    </w:lvl>
    <w:lvl w:ilvl="6" w:tplc="1000000F" w:tentative="1">
      <w:start w:val="1"/>
      <w:numFmt w:val="decimal"/>
      <w:lvlText w:val="%7."/>
      <w:lvlJc w:val="left"/>
      <w:pPr>
        <w:ind w:left="4968" w:hanging="360"/>
      </w:pPr>
    </w:lvl>
    <w:lvl w:ilvl="7" w:tplc="10000019" w:tentative="1">
      <w:start w:val="1"/>
      <w:numFmt w:val="lowerLetter"/>
      <w:lvlText w:val="%8."/>
      <w:lvlJc w:val="left"/>
      <w:pPr>
        <w:ind w:left="5688" w:hanging="360"/>
      </w:pPr>
    </w:lvl>
    <w:lvl w:ilvl="8" w:tplc="1000001B" w:tentative="1">
      <w:start w:val="1"/>
      <w:numFmt w:val="lowerRoman"/>
      <w:lvlText w:val="%9."/>
      <w:lvlJc w:val="right"/>
      <w:pPr>
        <w:ind w:left="6408" w:hanging="180"/>
      </w:pPr>
    </w:lvl>
  </w:abstractNum>
  <w:abstractNum w:abstractNumId="28" w15:restartNumberingAfterBreak="0">
    <w:nsid w:val="7EA60A01"/>
    <w:multiLevelType w:val="hybridMultilevel"/>
    <w:tmpl w:val="6308BA16"/>
    <w:lvl w:ilvl="0" w:tplc="F382497A">
      <w:start w:val="1"/>
      <w:numFmt w:val="lowerLetter"/>
      <w:lvlText w:val="%1."/>
      <w:lvlJc w:val="left"/>
      <w:pPr>
        <w:ind w:left="928" w:hanging="360"/>
      </w:pPr>
      <w:rPr>
        <w:rFonts w:hint="default"/>
      </w:rPr>
    </w:lvl>
    <w:lvl w:ilvl="1" w:tplc="10000019" w:tentative="1">
      <w:start w:val="1"/>
      <w:numFmt w:val="lowerLetter"/>
      <w:lvlText w:val="%2."/>
      <w:lvlJc w:val="left"/>
      <w:pPr>
        <w:ind w:left="1648" w:hanging="360"/>
      </w:pPr>
    </w:lvl>
    <w:lvl w:ilvl="2" w:tplc="1000001B" w:tentative="1">
      <w:start w:val="1"/>
      <w:numFmt w:val="lowerRoman"/>
      <w:lvlText w:val="%3."/>
      <w:lvlJc w:val="right"/>
      <w:pPr>
        <w:ind w:left="2368" w:hanging="180"/>
      </w:pPr>
    </w:lvl>
    <w:lvl w:ilvl="3" w:tplc="1000000F" w:tentative="1">
      <w:start w:val="1"/>
      <w:numFmt w:val="decimal"/>
      <w:lvlText w:val="%4."/>
      <w:lvlJc w:val="left"/>
      <w:pPr>
        <w:ind w:left="3088" w:hanging="360"/>
      </w:pPr>
    </w:lvl>
    <w:lvl w:ilvl="4" w:tplc="10000019" w:tentative="1">
      <w:start w:val="1"/>
      <w:numFmt w:val="lowerLetter"/>
      <w:lvlText w:val="%5."/>
      <w:lvlJc w:val="left"/>
      <w:pPr>
        <w:ind w:left="3808" w:hanging="360"/>
      </w:pPr>
    </w:lvl>
    <w:lvl w:ilvl="5" w:tplc="1000001B" w:tentative="1">
      <w:start w:val="1"/>
      <w:numFmt w:val="lowerRoman"/>
      <w:lvlText w:val="%6."/>
      <w:lvlJc w:val="right"/>
      <w:pPr>
        <w:ind w:left="4528" w:hanging="180"/>
      </w:pPr>
    </w:lvl>
    <w:lvl w:ilvl="6" w:tplc="1000000F" w:tentative="1">
      <w:start w:val="1"/>
      <w:numFmt w:val="decimal"/>
      <w:lvlText w:val="%7."/>
      <w:lvlJc w:val="left"/>
      <w:pPr>
        <w:ind w:left="5248" w:hanging="360"/>
      </w:pPr>
    </w:lvl>
    <w:lvl w:ilvl="7" w:tplc="10000019" w:tentative="1">
      <w:start w:val="1"/>
      <w:numFmt w:val="lowerLetter"/>
      <w:lvlText w:val="%8."/>
      <w:lvlJc w:val="left"/>
      <w:pPr>
        <w:ind w:left="5968" w:hanging="360"/>
      </w:pPr>
    </w:lvl>
    <w:lvl w:ilvl="8" w:tplc="1000001B" w:tentative="1">
      <w:start w:val="1"/>
      <w:numFmt w:val="lowerRoman"/>
      <w:lvlText w:val="%9."/>
      <w:lvlJc w:val="right"/>
      <w:pPr>
        <w:ind w:left="6688" w:hanging="180"/>
      </w:pPr>
    </w:lvl>
  </w:abstractNum>
  <w:num w:numId="1">
    <w:abstractNumId w:val="23"/>
  </w:num>
  <w:num w:numId="2">
    <w:abstractNumId w:val="11"/>
  </w:num>
  <w:num w:numId="3">
    <w:abstractNumId w:val="8"/>
  </w:num>
  <w:num w:numId="4">
    <w:abstractNumId w:val="17"/>
  </w:num>
  <w:num w:numId="5">
    <w:abstractNumId w:val="12"/>
  </w:num>
  <w:num w:numId="6">
    <w:abstractNumId w:val="3"/>
  </w:num>
  <w:num w:numId="7">
    <w:abstractNumId w:val="9"/>
  </w:num>
  <w:num w:numId="8">
    <w:abstractNumId w:val="2"/>
  </w:num>
  <w:num w:numId="9">
    <w:abstractNumId w:val="22"/>
  </w:num>
  <w:num w:numId="10">
    <w:abstractNumId w:val="19"/>
  </w:num>
  <w:num w:numId="11">
    <w:abstractNumId w:val="27"/>
  </w:num>
  <w:num w:numId="12">
    <w:abstractNumId w:val="25"/>
  </w:num>
  <w:num w:numId="13">
    <w:abstractNumId w:val="28"/>
  </w:num>
  <w:num w:numId="14">
    <w:abstractNumId w:val="13"/>
  </w:num>
  <w:num w:numId="15">
    <w:abstractNumId w:val="14"/>
  </w:num>
  <w:num w:numId="16">
    <w:abstractNumId w:val="16"/>
  </w:num>
  <w:num w:numId="17">
    <w:abstractNumId w:val="15"/>
  </w:num>
  <w:num w:numId="18">
    <w:abstractNumId w:val="18"/>
  </w:num>
  <w:num w:numId="19">
    <w:abstractNumId w:val="20"/>
  </w:num>
  <w:num w:numId="2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num>
  <w:num w:numId="22">
    <w:abstractNumId w:val="24"/>
  </w:num>
  <w:num w:numId="23">
    <w:abstractNumId w:val="5"/>
  </w:num>
  <w:num w:numId="24">
    <w:abstractNumId w:val="0"/>
  </w:num>
  <w:num w:numId="25">
    <w:abstractNumId w:val="7"/>
  </w:num>
  <w:num w:numId="26">
    <w:abstractNumId w:val="26"/>
  </w:num>
  <w:num w:numId="27">
    <w:abstractNumId w:val="4"/>
  </w:num>
  <w:num w:numId="28">
    <w:abstractNumId w:val="1"/>
  </w:num>
  <w:num w:numId="29">
    <w:abstractNumId w:val="6"/>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DateAndTime/>
  <w:proofState w:spelling="clean" w:grammar="clean"/>
  <w:defaultTabStop w:val="284"/>
  <w:hyphenationZone w:val="425"/>
  <w:characterSpacingControl w:val="doNotCompress"/>
  <w:hdrShapeDefaults>
    <o:shapedefaults v:ext="edit" spidmax="2050"/>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0045D"/>
    <w:rsid w:val="000005B1"/>
    <w:rsid w:val="000027BC"/>
    <w:rsid w:val="0000787B"/>
    <w:rsid w:val="00007EA4"/>
    <w:rsid w:val="00011702"/>
    <w:rsid w:val="000129EE"/>
    <w:rsid w:val="000145B6"/>
    <w:rsid w:val="00023CAB"/>
    <w:rsid w:val="000300CD"/>
    <w:rsid w:val="00030C42"/>
    <w:rsid w:val="00033EE4"/>
    <w:rsid w:val="00041D2F"/>
    <w:rsid w:val="00042654"/>
    <w:rsid w:val="00047321"/>
    <w:rsid w:val="000519EE"/>
    <w:rsid w:val="00055B22"/>
    <w:rsid w:val="00060654"/>
    <w:rsid w:val="000628E8"/>
    <w:rsid w:val="00064219"/>
    <w:rsid w:val="000645C4"/>
    <w:rsid w:val="00067065"/>
    <w:rsid w:val="0006724E"/>
    <w:rsid w:val="00071869"/>
    <w:rsid w:val="00071F22"/>
    <w:rsid w:val="000734D0"/>
    <w:rsid w:val="00073C25"/>
    <w:rsid w:val="00074017"/>
    <w:rsid w:val="00074123"/>
    <w:rsid w:val="00074F7D"/>
    <w:rsid w:val="00075A6F"/>
    <w:rsid w:val="00076894"/>
    <w:rsid w:val="00080F77"/>
    <w:rsid w:val="0008578F"/>
    <w:rsid w:val="000868CB"/>
    <w:rsid w:val="00086BBF"/>
    <w:rsid w:val="000870EC"/>
    <w:rsid w:val="00087245"/>
    <w:rsid w:val="00087A1F"/>
    <w:rsid w:val="0009062A"/>
    <w:rsid w:val="000934AF"/>
    <w:rsid w:val="00097017"/>
    <w:rsid w:val="00097D44"/>
    <w:rsid w:val="000A30B0"/>
    <w:rsid w:val="000A7848"/>
    <w:rsid w:val="000B1363"/>
    <w:rsid w:val="000B65E7"/>
    <w:rsid w:val="000B689F"/>
    <w:rsid w:val="000C12F2"/>
    <w:rsid w:val="000C58D3"/>
    <w:rsid w:val="000D236F"/>
    <w:rsid w:val="000D40D8"/>
    <w:rsid w:val="000D594E"/>
    <w:rsid w:val="000D5AB8"/>
    <w:rsid w:val="000E0667"/>
    <w:rsid w:val="000E16E7"/>
    <w:rsid w:val="000E6A8E"/>
    <w:rsid w:val="000F46B1"/>
    <w:rsid w:val="000F7C25"/>
    <w:rsid w:val="001012A8"/>
    <w:rsid w:val="00101BDB"/>
    <w:rsid w:val="0010220C"/>
    <w:rsid w:val="001032C9"/>
    <w:rsid w:val="00103A5C"/>
    <w:rsid w:val="0010531F"/>
    <w:rsid w:val="00105B23"/>
    <w:rsid w:val="00106166"/>
    <w:rsid w:val="00110A6A"/>
    <w:rsid w:val="00117680"/>
    <w:rsid w:val="001222CE"/>
    <w:rsid w:val="00122EE4"/>
    <w:rsid w:val="00125EE0"/>
    <w:rsid w:val="00132231"/>
    <w:rsid w:val="00132E7E"/>
    <w:rsid w:val="001361B7"/>
    <w:rsid w:val="001371CD"/>
    <w:rsid w:val="0013A521"/>
    <w:rsid w:val="00140AE6"/>
    <w:rsid w:val="00141CA9"/>
    <w:rsid w:val="001439BD"/>
    <w:rsid w:val="001471D8"/>
    <w:rsid w:val="00151552"/>
    <w:rsid w:val="0015398C"/>
    <w:rsid w:val="001560A6"/>
    <w:rsid w:val="0015772E"/>
    <w:rsid w:val="00161160"/>
    <w:rsid w:val="00161768"/>
    <w:rsid w:val="0016197D"/>
    <w:rsid w:val="00162A40"/>
    <w:rsid w:val="001717F7"/>
    <w:rsid w:val="00174831"/>
    <w:rsid w:val="001800AE"/>
    <w:rsid w:val="00181038"/>
    <w:rsid w:val="00182709"/>
    <w:rsid w:val="001838C1"/>
    <w:rsid w:val="00186387"/>
    <w:rsid w:val="00186D47"/>
    <w:rsid w:val="00187CED"/>
    <w:rsid w:val="00191B09"/>
    <w:rsid w:val="00193D28"/>
    <w:rsid w:val="001949B2"/>
    <w:rsid w:val="00196239"/>
    <w:rsid w:val="0019637B"/>
    <w:rsid w:val="001A19E4"/>
    <w:rsid w:val="001A3851"/>
    <w:rsid w:val="001A5158"/>
    <w:rsid w:val="001A55D5"/>
    <w:rsid w:val="001B056D"/>
    <w:rsid w:val="001C00ED"/>
    <w:rsid w:val="001C15C6"/>
    <w:rsid w:val="001C1E6C"/>
    <w:rsid w:val="001C20E5"/>
    <w:rsid w:val="001C3133"/>
    <w:rsid w:val="001C3717"/>
    <w:rsid w:val="001D11EF"/>
    <w:rsid w:val="001E01C3"/>
    <w:rsid w:val="001E143F"/>
    <w:rsid w:val="001E16C5"/>
    <w:rsid w:val="001E2734"/>
    <w:rsid w:val="001E4876"/>
    <w:rsid w:val="001E4BEE"/>
    <w:rsid w:val="001E503E"/>
    <w:rsid w:val="001F0D06"/>
    <w:rsid w:val="001F17BE"/>
    <w:rsid w:val="00201046"/>
    <w:rsid w:val="0020232D"/>
    <w:rsid w:val="00202953"/>
    <w:rsid w:val="002077D4"/>
    <w:rsid w:val="002078C7"/>
    <w:rsid w:val="002104EF"/>
    <w:rsid w:val="0021190C"/>
    <w:rsid w:val="00211E5B"/>
    <w:rsid w:val="00214922"/>
    <w:rsid w:val="00217A01"/>
    <w:rsid w:val="0022006D"/>
    <w:rsid w:val="00220083"/>
    <w:rsid w:val="002224E3"/>
    <w:rsid w:val="00223350"/>
    <w:rsid w:val="00223C78"/>
    <w:rsid w:val="0022556D"/>
    <w:rsid w:val="002304B4"/>
    <w:rsid w:val="002443C9"/>
    <w:rsid w:val="00257394"/>
    <w:rsid w:val="00257E20"/>
    <w:rsid w:val="00260FE0"/>
    <w:rsid w:val="00263B88"/>
    <w:rsid w:val="002675EE"/>
    <w:rsid w:val="00270A34"/>
    <w:rsid w:val="00271BB7"/>
    <w:rsid w:val="002745EF"/>
    <w:rsid w:val="002805D1"/>
    <w:rsid w:val="00282E83"/>
    <w:rsid w:val="00283465"/>
    <w:rsid w:val="002843FC"/>
    <w:rsid w:val="002915A0"/>
    <w:rsid w:val="0029346B"/>
    <w:rsid w:val="00293FEE"/>
    <w:rsid w:val="00294AA2"/>
    <w:rsid w:val="002956FC"/>
    <w:rsid w:val="002970FE"/>
    <w:rsid w:val="002A36EB"/>
    <w:rsid w:val="002A61D5"/>
    <w:rsid w:val="002A665E"/>
    <w:rsid w:val="002B3385"/>
    <w:rsid w:val="002B36A8"/>
    <w:rsid w:val="002C2422"/>
    <w:rsid w:val="002C2FE0"/>
    <w:rsid w:val="002C32E6"/>
    <w:rsid w:val="002C49E4"/>
    <w:rsid w:val="002D034E"/>
    <w:rsid w:val="002D0955"/>
    <w:rsid w:val="002D15C6"/>
    <w:rsid w:val="002D3317"/>
    <w:rsid w:val="002D340A"/>
    <w:rsid w:val="002D579E"/>
    <w:rsid w:val="002D6427"/>
    <w:rsid w:val="002D6623"/>
    <w:rsid w:val="002D7AD1"/>
    <w:rsid w:val="002E7193"/>
    <w:rsid w:val="002F2685"/>
    <w:rsid w:val="002F3AFA"/>
    <w:rsid w:val="002F4A39"/>
    <w:rsid w:val="002F5895"/>
    <w:rsid w:val="002F6113"/>
    <w:rsid w:val="00301215"/>
    <w:rsid w:val="003044CC"/>
    <w:rsid w:val="00305A16"/>
    <w:rsid w:val="00322F35"/>
    <w:rsid w:val="00323417"/>
    <w:rsid w:val="0032659B"/>
    <w:rsid w:val="00326667"/>
    <w:rsid w:val="00326DCD"/>
    <w:rsid w:val="0032704C"/>
    <w:rsid w:val="00327423"/>
    <w:rsid w:val="003314FB"/>
    <w:rsid w:val="00334D4D"/>
    <w:rsid w:val="00335852"/>
    <w:rsid w:val="00335C2A"/>
    <w:rsid w:val="003375C0"/>
    <w:rsid w:val="003440C2"/>
    <w:rsid w:val="00345BFD"/>
    <w:rsid w:val="00346B81"/>
    <w:rsid w:val="003501DE"/>
    <w:rsid w:val="003510B9"/>
    <w:rsid w:val="00354B5B"/>
    <w:rsid w:val="00361E27"/>
    <w:rsid w:val="00362B35"/>
    <w:rsid w:val="00365B1D"/>
    <w:rsid w:val="0037073E"/>
    <w:rsid w:val="003740C3"/>
    <w:rsid w:val="003807B9"/>
    <w:rsid w:val="003812A1"/>
    <w:rsid w:val="00381ECF"/>
    <w:rsid w:val="003844CA"/>
    <w:rsid w:val="003851B7"/>
    <w:rsid w:val="00391161"/>
    <w:rsid w:val="003917F4"/>
    <w:rsid w:val="00392879"/>
    <w:rsid w:val="003928D6"/>
    <w:rsid w:val="00396D23"/>
    <w:rsid w:val="003A0A09"/>
    <w:rsid w:val="003A30FE"/>
    <w:rsid w:val="003B073F"/>
    <w:rsid w:val="003B68AB"/>
    <w:rsid w:val="003B7AF5"/>
    <w:rsid w:val="003C2117"/>
    <w:rsid w:val="003C28EF"/>
    <w:rsid w:val="003C57FF"/>
    <w:rsid w:val="003C617E"/>
    <w:rsid w:val="003CA778"/>
    <w:rsid w:val="003D0003"/>
    <w:rsid w:val="003D1563"/>
    <w:rsid w:val="003D2348"/>
    <w:rsid w:val="003E012C"/>
    <w:rsid w:val="003E08E6"/>
    <w:rsid w:val="003EF3F9"/>
    <w:rsid w:val="003F5B37"/>
    <w:rsid w:val="00400F6A"/>
    <w:rsid w:val="0040243F"/>
    <w:rsid w:val="00406085"/>
    <w:rsid w:val="00411FED"/>
    <w:rsid w:val="00415FF2"/>
    <w:rsid w:val="0042349C"/>
    <w:rsid w:val="00423A71"/>
    <w:rsid w:val="00426358"/>
    <w:rsid w:val="00426B38"/>
    <w:rsid w:val="00432CC3"/>
    <w:rsid w:val="00434068"/>
    <w:rsid w:val="00434821"/>
    <w:rsid w:val="004360FB"/>
    <w:rsid w:val="00436458"/>
    <w:rsid w:val="00440397"/>
    <w:rsid w:val="00441D66"/>
    <w:rsid w:val="0044635E"/>
    <w:rsid w:val="00446B24"/>
    <w:rsid w:val="004609A9"/>
    <w:rsid w:val="0046122F"/>
    <w:rsid w:val="0046667B"/>
    <w:rsid w:val="00473560"/>
    <w:rsid w:val="0047536F"/>
    <w:rsid w:val="004859C2"/>
    <w:rsid w:val="0049606B"/>
    <w:rsid w:val="004A6AB1"/>
    <w:rsid w:val="004B190F"/>
    <w:rsid w:val="004B2BA6"/>
    <w:rsid w:val="004B3D9B"/>
    <w:rsid w:val="004B43D6"/>
    <w:rsid w:val="004B7AD4"/>
    <w:rsid w:val="004C05F4"/>
    <w:rsid w:val="004C1257"/>
    <w:rsid w:val="004C2CD3"/>
    <w:rsid w:val="004C4D11"/>
    <w:rsid w:val="004C568E"/>
    <w:rsid w:val="004C5E3B"/>
    <w:rsid w:val="004C6B7C"/>
    <w:rsid w:val="004D1175"/>
    <w:rsid w:val="004D59E7"/>
    <w:rsid w:val="004D6E70"/>
    <w:rsid w:val="004E0E2C"/>
    <w:rsid w:val="004E248C"/>
    <w:rsid w:val="004E517C"/>
    <w:rsid w:val="004E6D3E"/>
    <w:rsid w:val="004F2703"/>
    <w:rsid w:val="004F3320"/>
    <w:rsid w:val="004F37F2"/>
    <w:rsid w:val="004F4E4A"/>
    <w:rsid w:val="00501CA0"/>
    <w:rsid w:val="0050458D"/>
    <w:rsid w:val="005059BE"/>
    <w:rsid w:val="00507279"/>
    <w:rsid w:val="00507601"/>
    <w:rsid w:val="005119B0"/>
    <w:rsid w:val="00512BAE"/>
    <w:rsid w:val="00513574"/>
    <w:rsid w:val="00521A09"/>
    <w:rsid w:val="005302A2"/>
    <w:rsid w:val="005303CF"/>
    <w:rsid w:val="0053161F"/>
    <w:rsid w:val="00536E37"/>
    <w:rsid w:val="005375B7"/>
    <w:rsid w:val="00541F32"/>
    <w:rsid w:val="005549CD"/>
    <w:rsid w:val="00555943"/>
    <w:rsid w:val="0056308A"/>
    <w:rsid w:val="00564348"/>
    <w:rsid w:val="00565FB6"/>
    <w:rsid w:val="0057228A"/>
    <w:rsid w:val="0057528F"/>
    <w:rsid w:val="0057717F"/>
    <w:rsid w:val="005775EF"/>
    <w:rsid w:val="005807EF"/>
    <w:rsid w:val="005944C6"/>
    <w:rsid w:val="00594A6C"/>
    <w:rsid w:val="00596813"/>
    <w:rsid w:val="005A06A9"/>
    <w:rsid w:val="005A0F65"/>
    <w:rsid w:val="005A7E13"/>
    <w:rsid w:val="005B4CD6"/>
    <w:rsid w:val="005B6608"/>
    <w:rsid w:val="005B7263"/>
    <w:rsid w:val="005C3679"/>
    <w:rsid w:val="005C3E43"/>
    <w:rsid w:val="005D0831"/>
    <w:rsid w:val="005D5AEE"/>
    <w:rsid w:val="005D7863"/>
    <w:rsid w:val="005E2F05"/>
    <w:rsid w:val="005E3E25"/>
    <w:rsid w:val="005F2A81"/>
    <w:rsid w:val="005F5BD0"/>
    <w:rsid w:val="00601D48"/>
    <w:rsid w:val="00615057"/>
    <w:rsid w:val="00617234"/>
    <w:rsid w:val="00620375"/>
    <w:rsid w:val="00621D06"/>
    <w:rsid w:val="00622D21"/>
    <w:rsid w:val="0062351C"/>
    <w:rsid w:val="006258D7"/>
    <w:rsid w:val="00635B8F"/>
    <w:rsid w:val="00635C2C"/>
    <w:rsid w:val="00640E91"/>
    <w:rsid w:val="00641AC4"/>
    <w:rsid w:val="00641F32"/>
    <w:rsid w:val="00645CC4"/>
    <w:rsid w:val="00646621"/>
    <w:rsid w:val="006514F9"/>
    <w:rsid w:val="00652C9A"/>
    <w:rsid w:val="00655AEA"/>
    <w:rsid w:val="00655EE3"/>
    <w:rsid w:val="00656A84"/>
    <w:rsid w:val="00656C5B"/>
    <w:rsid w:val="00657F9A"/>
    <w:rsid w:val="00660065"/>
    <w:rsid w:val="00660A78"/>
    <w:rsid w:val="0066420A"/>
    <w:rsid w:val="006647A5"/>
    <w:rsid w:val="00673CAD"/>
    <w:rsid w:val="006762BC"/>
    <w:rsid w:val="00680469"/>
    <w:rsid w:val="006A26CC"/>
    <w:rsid w:val="006A34B0"/>
    <w:rsid w:val="006A4CEA"/>
    <w:rsid w:val="006A70C7"/>
    <w:rsid w:val="006A77DC"/>
    <w:rsid w:val="006B013F"/>
    <w:rsid w:val="006B3069"/>
    <w:rsid w:val="006B370F"/>
    <w:rsid w:val="006B48ED"/>
    <w:rsid w:val="006B668B"/>
    <w:rsid w:val="006B6B37"/>
    <w:rsid w:val="006B738A"/>
    <w:rsid w:val="006C13FE"/>
    <w:rsid w:val="006C1C1B"/>
    <w:rsid w:val="006C5029"/>
    <w:rsid w:val="006D2264"/>
    <w:rsid w:val="006D26C5"/>
    <w:rsid w:val="006D2B54"/>
    <w:rsid w:val="006D2D96"/>
    <w:rsid w:val="006D336C"/>
    <w:rsid w:val="006D3479"/>
    <w:rsid w:val="006D4866"/>
    <w:rsid w:val="006D4ABF"/>
    <w:rsid w:val="006D68DF"/>
    <w:rsid w:val="006E1FE2"/>
    <w:rsid w:val="006E269D"/>
    <w:rsid w:val="006F069F"/>
    <w:rsid w:val="006F1D34"/>
    <w:rsid w:val="006F27E4"/>
    <w:rsid w:val="006F4043"/>
    <w:rsid w:val="006F4D1E"/>
    <w:rsid w:val="006F590F"/>
    <w:rsid w:val="006F74FF"/>
    <w:rsid w:val="00700188"/>
    <w:rsid w:val="00705B99"/>
    <w:rsid w:val="007062A8"/>
    <w:rsid w:val="00706572"/>
    <w:rsid w:val="00706C62"/>
    <w:rsid w:val="00707D37"/>
    <w:rsid w:val="00711BD5"/>
    <w:rsid w:val="00712674"/>
    <w:rsid w:val="007155D8"/>
    <w:rsid w:val="007176DC"/>
    <w:rsid w:val="0071AE54"/>
    <w:rsid w:val="007235C4"/>
    <w:rsid w:val="00724362"/>
    <w:rsid w:val="00725F9A"/>
    <w:rsid w:val="00727368"/>
    <w:rsid w:val="00730771"/>
    <w:rsid w:val="007367EA"/>
    <w:rsid w:val="007370AD"/>
    <w:rsid w:val="007379E9"/>
    <w:rsid w:val="00737A28"/>
    <w:rsid w:val="0074238F"/>
    <w:rsid w:val="0075063D"/>
    <w:rsid w:val="00751826"/>
    <w:rsid w:val="007555E3"/>
    <w:rsid w:val="00760847"/>
    <w:rsid w:val="007614ED"/>
    <w:rsid w:val="00762049"/>
    <w:rsid w:val="00765996"/>
    <w:rsid w:val="0077114B"/>
    <w:rsid w:val="00771DC5"/>
    <w:rsid w:val="00771FE8"/>
    <w:rsid w:val="00774879"/>
    <w:rsid w:val="007814A6"/>
    <w:rsid w:val="00783706"/>
    <w:rsid w:val="00784E5E"/>
    <w:rsid w:val="00790924"/>
    <w:rsid w:val="007A068D"/>
    <w:rsid w:val="007A08F8"/>
    <w:rsid w:val="007A3A14"/>
    <w:rsid w:val="007A52CF"/>
    <w:rsid w:val="007A6048"/>
    <w:rsid w:val="007B1CB4"/>
    <w:rsid w:val="007B36F6"/>
    <w:rsid w:val="007B7B39"/>
    <w:rsid w:val="007C03B6"/>
    <w:rsid w:val="007C547F"/>
    <w:rsid w:val="007D1BA3"/>
    <w:rsid w:val="007D2DDE"/>
    <w:rsid w:val="007D4338"/>
    <w:rsid w:val="007D4704"/>
    <w:rsid w:val="007D6003"/>
    <w:rsid w:val="007E1E29"/>
    <w:rsid w:val="007E2351"/>
    <w:rsid w:val="007E3DD0"/>
    <w:rsid w:val="007E6916"/>
    <w:rsid w:val="007F3B99"/>
    <w:rsid w:val="007F578D"/>
    <w:rsid w:val="0080217E"/>
    <w:rsid w:val="00802602"/>
    <w:rsid w:val="00803C4A"/>
    <w:rsid w:val="00803FAF"/>
    <w:rsid w:val="00806695"/>
    <w:rsid w:val="008102BD"/>
    <w:rsid w:val="0081067F"/>
    <w:rsid w:val="00812669"/>
    <w:rsid w:val="008127E8"/>
    <w:rsid w:val="00812EB7"/>
    <w:rsid w:val="00815855"/>
    <w:rsid w:val="0082754F"/>
    <w:rsid w:val="008310C2"/>
    <w:rsid w:val="00831A1A"/>
    <w:rsid w:val="0083379F"/>
    <w:rsid w:val="00834139"/>
    <w:rsid w:val="008341C9"/>
    <w:rsid w:val="0083641F"/>
    <w:rsid w:val="00843865"/>
    <w:rsid w:val="00846C37"/>
    <w:rsid w:val="00847850"/>
    <w:rsid w:val="00852033"/>
    <w:rsid w:val="00852FF3"/>
    <w:rsid w:val="0085558B"/>
    <w:rsid w:val="0085674C"/>
    <w:rsid w:val="008577B7"/>
    <w:rsid w:val="0085A2EF"/>
    <w:rsid w:val="00864D83"/>
    <w:rsid w:val="008653BF"/>
    <w:rsid w:val="00866430"/>
    <w:rsid w:val="00870712"/>
    <w:rsid w:val="00871C5A"/>
    <w:rsid w:val="00872539"/>
    <w:rsid w:val="008746D5"/>
    <w:rsid w:val="00876710"/>
    <w:rsid w:val="0088120D"/>
    <w:rsid w:val="00882D45"/>
    <w:rsid w:val="00885407"/>
    <w:rsid w:val="00895423"/>
    <w:rsid w:val="00896869"/>
    <w:rsid w:val="00897C6B"/>
    <w:rsid w:val="008A222D"/>
    <w:rsid w:val="008A5776"/>
    <w:rsid w:val="008B2E2B"/>
    <w:rsid w:val="008B31BD"/>
    <w:rsid w:val="008C1759"/>
    <w:rsid w:val="008C673D"/>
    <w:rsid w:val="008D0068"/>
    <w:rsid w:val="008D0BAD"/>
    <w:rsid w:val="008D3733"/>
    <w:rsid w:val="008E15C5"/>
    <w:rsid w:val="008E399A"/>
    <w:rsid w:val="008F1B32"/>
    <w:rsid w:val="008F6594"/>
    <w:rsid w:val="008F6902"/>
    <w:rsid w:val="00901D4D"/>
    <w:rsid w:val="00902E6F"/>
    <w:rsid w:val="009055D5"/>
    <w:rsid w:val="00905F69"/>
    <w:rsid w:val="00911C3A"/>
    <w:rsid w:val="00911E01"/>
    <w:rsid w:val="00912563"/>
    <w:rsid w:val="00917CAC"/>
    <w:rsid w:val="00917D71"/>
    <w:rsid w:val="0091CB8A"/>
    <w:rsid w:val="00924E7B"/>
    <w:rsid w:val="009254F1"/>
    <w:rsid w:val="00927AD6"/>
    <w:rsid w:val="009327ED"/>
    <w:rsid w:val="00932C6A"/>
    <w:rsid w:val="009358BB"/>
    <w:rsid w:val="009368D8"/>
    <w:rsid w:val="009377A3"/>
    <w:rsid w:val="00937846"/>
    <w:rsid w:val="00942546"/>
    <w:rsid w:val="00943B67"/>
    <w:rsid w:val="00947F0E"/>
    <w:rsid w:val="009566B1"/>
    <w:rsid w:val="00956D7E"/>
    <w:rsid w:val="00957897"/>
    <w:rsid w:val="00963A76"/>
    <w:rsid w:val="0097094A"/>
    <w:rsid w:val="0097407D"/>
    <w:rsid w:val="00977CCE"/>
    <w:rsid w:val="00981601"/>
    <w:rsid w:val="0098207A"/>
    <w:rsid w:val="009864FB"/>
    <w:rsid w:val="00992D61"/>
    <w:rsid w:val="00994C16"/>
    <w:rsid w:val="00995085"/>
    <w:rsid w:val="0099610B"/>
    <w:rsid w:val="0099689E"/>
    <w:rsid w:val="0099765B"/>
    <w:rsid w:val="009A0D46"/>
    <w:rsid w:val="009A1DB7"/>
    <w:rsid w:val="009A3A87"/>
    <w:rsid w:val="009A6DE1"/>
    <w:rsid w:val="009A75AC"/>
    <w:rsid w:val="009B1C3D"/>
    <w:rsid w:val="009B2FA4"/>
    <w:rsid w:val="009B31BC"/>
    <w:rsid w:val="009B5042"/>
    <w:rsid w:val="009B588C"/>
    <w:rsid w:val="009B60B6"/>
    <w:rsid w:val="009C2462"/>
    <w:rsid w:val="009C2794"/>
    <w:rsid w:val="009C5BE1"/>
    <w:rsid w:val="009E382D"/>
    <w:rsid w:val="009F6526"/>
    <w:rsid w:val="00A002E4"/>
    <w:rsid w:val="00A00BF1"/>
    <w:rsid w:val="00A03A8E"/>
    <w:rsid w:val="00A06DB0"/>
    <w:rsid w:val="00A07ACE"/>
    <w:rsid w:val="00A10AE9"/>
    <w:rsid w:val="00A11182"/>
    <w:rsid w:val="00A12A65"/>
    <w:rsid w:val="00A141B9"/>
    <w:rsid w:val="00A168CF"/>
    <w:rsid w:val="00A2280D"/>
    <w:rsid w:val="00A24367"/>
    <w:rsid w:val="00A27AAF"/>
    <w:rsid w:val="00A27F81"/>
    <w:rsid w:val="00A32418"/>
    <w:rsid w:val="00A32D70"/>
    <w:rsid w:val="00A3349F"/>
    <w:rsid w:val="00A35A54"/>
    <w:rsid w:val="00A366EA"/>
    <w:rsid w:val="00A36CFA"/>
    <w:rsid w:val="00A40F44"/>
    <w:rsid w:val="00A425DE"/>
    <w:rsid w:val="00A42A45"/>
    <w:rsid w:val="00A4445C"/>
    <w:rsid w:val="00A66352"/>
    <w:rsid w:val="00A71574"/>
    <w:rsid w:val="00A74357"/>
    <w:rsid w:val="00A74406"/>
    <w:rsid w:val="00A75CC0"/>
    <w:rsid w:val="00A81D80"/>
    <w:rsid w:val="00A81E57"/>
    <w:rsid w:val="00A81F26"/>
    <w:rsid w:val="00A84C9D"/>
    <w:rsid w:val="00A90212"/>
    <w:rsid w:val="00A91C80"/>
    <w:rsid w:val="00A940D2"/>
    <w:rsid w:val="00A954BA"/>
    <w:rsid w:val="00A96FBF"/>
    <w:rsid w:val="00AA1B7D"/>
    <w:rsid w:val="00AA1D5A"/>
    <w:rsid w:val="00AA1EF3"/>
    <w:rsid w:val="00AA40F8"/>
    <w:rsid w:val="00AA4A2A"/>
    <w:rsid w:val="00AA56E8"/>
    <w:rsid w:val="00AA6B72"/>
    <w:rsid w:val="00AA6E32"/>
    <w:rsid w:val="00AB0F1B"/>
    <w:rsid w:val="00AB4159"/>
    <w:rsid w:val="00AB48D9"/>
    <w:rsid w:val="00AB4DB6"/>
    <w:rsid w:val="00AB689F"/>
    <w:rsid w:val="00AC65ED"/>
    <w:rsid w:val="00AC7C2A"/>
    <w:rsid w:val="00AD0879"/>
    <w:rsid w:val="00AD3B52"/>
    <w:rsid w:val="00AD43AF"/>
    <w:rsid w:val="00AE3105"/>
    <w:rsid w:val="00AF24CD"/>
    <w:rsid w:val="00AF51B6"/>
    <w:rsid w:val="00AF581E"/>
    <w:rsid w:val="00AF6C21"/>
    <w:rsid w:val="00B039A4"/>
    <w:rsid w:val="00B05141"/>
    <w:rsid w:val="00B05E90"/>
    <w:rsid w:val="00B107AD"/>
    <w:rsid w:val="00B10DFD"/>
    <w:rsid w:val="00B12041"/>
    <w:rsid w:val="00B129FF"/>
    <w:rsid w:val="00B13979"/>
    <w:rsid w:val="00B162D4"/>
    <w:rsid w:val="00B203DC"/>
    <w:rsid w:val="00B20AE0"/>
    <w:rsid w:val="00B20E81"/>
    <w:rsid w:val="00B22D70"/>
    <w:rsid w:val="00B240C5"/>
    <w:rsid w:val="00B27C12"/>
    <w:rsid w:val="00B43916"/>
    <w:rsid w:val="00B43EFE"/>
    <w:rsid w:val="00B56947"/>
    <w:rsid w:val="00B61C34"/>
    <w:rsid w:val="00B62A9D"/>
    <w:rsid w:val="00B66F3A"/>
    <w:rsid w:val="00B769B1"/>
    <w:rsid w:val="00B85228"/>
    <w:rsid w:val="00B875ED"/>
    <w:rsid w:val="00B9079D"/>
    <w:rsid w:val="00B94893"/>
    <w:rsid w:val="00BA2BB8"/>
    <w:rsid w:val="00BA5E64"/>
    <w:rsid w:val="00BB0576"/>
    <w:rsid w:val="00BB70D5"/>
    <w:rsid w:val="00BC31E7"/>
    <w:rsid w:val="00BC3809"/>
    <w:rsid w:val="00BC7197"/>
    <w:rsid w:val="00BD2C89"/>
    <w:rsid w:val="00BD7250"/>
    <w:rsid w:val="00BD7326"/>
    <w:rsid w:val="00BE648D"/>
    <w:rsid w:val="00BE6B7A"/>
    <w:rsid w:val="00BF0D5A"/>
    <w:rsid w:val="00BF1588"/>
    <w:rsid w:val="00BF2C1E"/>
    <w:rsid w:val="00BF3D23"/>
    <w:rsid w:val="00C00730"/>
    <w:rsid w:val="00C05DFC"/>
    <w:rsid w:val="00C073C3"/>
    <w:rsid w:val="00C13A75"/>
    <w:rsid w:val="00C23EF4"/>
    <w:rsid w:val="00C301EB"/>
    <w:rsid w:val="00C309B4"/>
    <w:rsid w:val="00C32899"/>
    <w:rsid w:val="00C34A72"/>
    <w:rsid w:val="00C350BA"/>
    <w:rsid w:val="00C35574"/>
    <w:rsid w:val="00C35772"/>
    <w:rsid w:val="00C36086"/>
    <w:rsid w:val="00C4306F"/>
    <w:rsid w:val="00C47118"/>
    <w:rsid w:val="00C4B4CF"/>
    <w:rsid w:val="00C61756"/>
    <w:rsid w:val="00C63B5B"/>
    <w:rsid w:val="00C63C6A"/>
    <w:rsid w:val="00C66CD3"/>
    <w:rsid w:val="00C67244"/>
    <w:rsid w:val="00C710B1"/>
    <w:rsid w:val="00C720CE"/>
    <w:rsid w:val="00C72994"/>
    <w:rsid w:val="00C72BC3"/>
    <w:rsid w:val="00C80F6F"/>
    <w:rsid w:val="00C9219E"/>
    <w:rsid w:val="00C92320"/>
    <w:rsid w:val="00C977A7"/>
    <w:rsid w:val="00CA31D0"/>
    <w:rsid w:val="00CA4E6C"/>
    <w:rsid w:val="00CA5280"/>
    <w:rsid w:val="00CB085F"/>
    <w:rsid w:val="00CB16D6"/>
    <w:rsid w:val="00CB247C"/>
    <w:rsid w:val="00CB31DC"/>
    <w:rsid w:val="00CB3210"/>
    <w:rsid w:val="00CB4C6C"/>
    <w:rsid w:val="00CB55F2"/>
    <w:rsid w:val="00CB63F6"/>
    <w:rsid w:val="00CC2068"/>
    <w:rsid w:val="00CC3BDB"/>
    <w:rsid w:val="00CC5250"/>
    <w:rsid w:val="00CC7675"/>
    <w:rsid w:val="00CC7ED2"/>
    <w:rsid w:val="00CD54BE"/>
    <w:rsid w:val="00CD5F85"/>
    <w:rsid w:val="00CE2363"/>
    <w:rsid w:val="00CE6726"/>
    <w:rsid w:val="00CF14E7"/>
    <w:rsid w:val="00CF25A2"/>
    <w:rsid w:val="00CF2771"/>
    <w:rsid w:val="00CF6C66"/>
    <w:rsid w:val="00D03A78"/>
    <w:rsid w:val="00D0740D"/>
    <w:rsid w:val="00D10560"/>
    <w:rsid w:val="00D106E9"/>
    <w:rsid w:val="00D1376C"/>
    <w:rsid w:val="00D159F8"/>
    <w:rsid w:val="00D16253"/>
    <w:rsid w:val="00D164EB"/>
    <w:rsid w:val="00D17417"/>
    <w:rsid w:val="00D205B5"/>
    <w:rsid w:val="00D21785"/>
    <w:rsid w:val="00D249D5"/>
    <w:rsid w:val="00D25C52"/>
    <w:rsid w:val="00D25E73"/>
    <w:rsid w:val="00D269A7"/>
    <w:rsid w:val="00D337AE"/>
    <w:rsid w:val="00D34CF6"/>
    <w:rsid w:val="00D353D1"/>
    <w:rsid w:val="00D36564"/>
    <w:rsid w:val="00D40A81"/>
    <w:rsid w:val="00D45F78"/>
    <w:rsid w:val="00D50EBB"/>
    <w:rsid w:val="00D512A4"/>
    <w:rsid w:val="00D555EE"/>
    <w:rsid w:val="00D56769"/>
    <w:rsid w:val="00D5679C"/>
    <w:rsid w:val="00D62C6C"/>
    <w:rsid w:val="00D661BA"/>
    <w:rsid w:val="00D71380"/>
    <w:rsid w:val="00D723C0"/>
    <w:rsid w:val="00D748D8"/>
    <w:rsid w:val="00D74D56"/>
    <w:rsid w:val="00D74EF9"/>
    <w:rsid w:val="00D828F8"/>
    <w:rsid w:val="00D8361D"/>
    <w:rsid w:val="00D84079"/>
    <w:rsid w:val="00D85720"/>
    <w:rsid w:val="00D87ABA"/>
    <w:rsid w:val="00D90639"/>
    <w:rsid w:val="00DA0E37"/>
    <w:rsid w:val="00DA65C8"/>
    <w:rsid w:val="00DB05B7"/>
    <w:rsid w:val="00DB4650"/>
    <w:rsid w:val="00DC0A9A"/>
    <w:rsid w:val="00DC0B3B"/>
    <w:rsid w:val="00DC171A"/>
    <w:rsid w:val="00DC3891"/>
    <w:rsid w:val="00DD303D"/>
    <w:rsid w:val="00DE1B94"/>
    <w:rsid w:val="00DE1C49"/>
    <w:rsid w:val="00DE2CF9"/>
    <w:rsid w:val="00DE4095"/>
    <w:rsid w:val="00DE5394"/>
    <w:rsid w:val="00DE6582"/>
    <w:rsid w:val="00DE714E"/>
    <w:rsid w:val="00DF1B61"/>
    <w:rsid w:val="00DF5925"/>
    <w:rsid w:val="00DF733B"/>
    <w:rsid w:val="00E02B2B"/>
    <w:rsid w:val="00E037C0"/>
    <w:rsid w:val="00E043B1"/>
    <w:rsid w:val="00E11B67"/>
    <w:rsid w:val="00E15694"/>
    <w:rsid w:val="00E16F1C"/>
    <w:rsid w:val="00E20612"/>
    <w:rsid w:val="00E21882"/>
    <w:rsid w:val="00E222DB"/>
    <w:rsid w:val="00E2296A"/>
    <w:rsid w:val="00E238FE"/>
    <w:rsid w:val="00E255CC"/>
    <w:rsid w:val="00E25646"/>
    <w:rsid w:val="00E26F76"/>
    <w:rsid w:val="00E272BA"/>
    <w:rsid w:val="00E27D58"/>
    <w:rsid w:val="00E36023"/>
    <w:rsid w:val="00E411E0"/>
    <w:rsid w:val="00E41A20"/>
    <w:rsid w:val="00E42E1A"/>
    <w:rsid w:val="00E4448F"/>
    <w:rsid w:val="00E44760"/>
    <w:rsid w:val="00E45CB1"/>
    <w:rsid w:val="00E5083A"/>
    <w:rsid w:val="00E61D77"/>
    <w:rsid w:val="00E62139"/>
    <w:rsid w:val="00E6534F"/>
    <w:rsid w:val="00E66A62"/>
    <w:rsid w:val="00E67457"/>
    <w:rsid w:val="00E718FC"/>
    <w:rsid w:val="00E71F27"/>
    <w:rsid w:val="00E7395A"/>
    <w:rsid w:val="00E810B0"/>
    <w:rsid w:val="00E9344F"/>
    <w:rsid w:val="00E95E85"/>
    <w:rsid w:val="00E96627"/>
    <w:rsid w:val="00E96843"/>
    <w:rsid w:val="00EA25EB"/>
    <w:rsid w:val="00EA3309"/>
    <w:rsid w:val="00EA4BBC"/>
    <w:rsid w:val="00EB12F6"/>
    <w:rsid w:val="00EB2A02"/>
    <w:rsid w:val="00EB3C39"/>
    <w:rsid w:val="00EB599B"/>
    <w:rsid w:val="00EB627B"/>
    <w:rsid w:val="00EC02F4"/>
    <w:rsid w:val="00EC2ECD"/>
    <w:rsid w:val="00EC3FBE"/>
    <w:rsid w:val="00ED1890"/>
    <w:rsid w:val="00ED44BA"/>
    <w:rsid w:val="00ED7CBF"/>
    <w:rsid w:val="00EE4C00"/>
    <w:rsid w:val="00EE53D7"/>
    <w:rsid w:val="00EE74ED"/>
    <w:rsid w:val="00EF5A3D"/>
    <w:rsid w:val="00EF61E0"/>
    <w:rsid w:val="00EF727E"/>
    <w:rsid w:val="00EF776B"/>
    <w:rsid w:val="00F00F11"/>
    <w:rsid w:val="00F01F3F"/>
    <w:rsid w:val="00F0244A"/>
    <w:rsid w:val="00F04886"/>
    <w:rsid w:val="00F0730D"/>
    <w:rsid w:val="00F11E6E"/>
    <w:rsid w:val="00F20086"/>
    <w:rsid w:val="00F20969"/>
    <w:rsid w:val="00F349FC"/>
    <w:rsid w:val="00F3664E"/>
    <w:rsid w:val="00F42EDA"/>
    <w:rsid w:val="00F44E37"/>
    <w:rsid w:val="00F4798A"/>
    <w:rsid w:val="00F50C2D"/>
    <w:rsid w:val="00F52EE0"/>
    <w:rsid w:val="00F54C9A"/>
    <w:rsid w:val="00F58223"/>
    <w:rsid w:val="00F61850"/>
    <w:rsid w:val="00F63A27"/>
    <w:rsid w:val="00F64560"/>
    <w:rsid w:val="00F73B40"/>
    <w:rsid w:val="00F76484"/>
    <w:rsid w:val="00F80351"/>
    <w:rsid w:val="00F81D5D"/>
    <w:rsid w:val="00F83385"/>
    <w:rsid w:val="00F8731B"/>
    <w:rsid w:val="00F9258C"/>
    <w:rsid w:val="00F948F1"/>
    <w:rsid w:val="00F95F1C"/>
    <w:rsid w:val="00F9722F"/>
    <w:rsid w:val="00FA0306"/>
    <w:rsid w:val="00FA2DA7"/>
    <w:rsid w:val="00FA3741"/>
    <w:rsid w:val="00FA460B"/>
    <w:rsid w:val="00FA5891"/>
    <w:rsid w:val="00FA594F"/>
    <w:rsid w:val="00FA6D10"/>
    <w:rsid w:val="00FB0849"/>
    <w:rsid w:val="00FB6834"/>
    <w:rsid w:val="00FC157A"/>
    <w:rsid w:val="00FC4C9F"/>
    <w:rsid w:val="00FC5601"/>
    <w:rsid w:val="00FC77FB"/>
    <w:rsid w:val="00FC7F83"/>
    <w:rsid w:val="00FD1BD0"/>
    <w:rsid w:val="00FD2BB5"/>
    <w:rsid w:val="00FD5EC1"/>
    <w:rsid w:val="00FD68E6"/>
    <w:rsid w:val="00FE0D80"/>
    <w:rsid w:val="00FE2AB2"/>
    <w:rsid w:val="00FE6CB6"/>
    <w:rsid w:val="00FF1CF4"/>
    <w:rsid w:val="00FF27DD"/>
    <w:rsid w:val="00FF2ED0"/>
    <w:rsid w:val="00FF4D0B"/>
    <w:rsid w:val="00FF5FB2"/>
    <w:rsid w:val="00FF7F38"/>
    <w:rsid w:val="010EA96D"/>
    <w:rsid w:val="01194851"/>
    <w:rsid w:val="014BCA05"/>
    <w:rsid w:val="014F211E"/>
    <w:rsid w:val="016B8AF5"/>
    <w:rsid w:val="01AE11A1"/>
    <w:rsid w:val="01D1CAEA"/>
    <w:rsid w:val="01DADF90"/>
    <w:rsid w:val="01E6A7D6"/>
    <w:rsid w:val="02156C3B"/>
    <w:rsid w:val="021920C4"/>
    <w:rsid w:val="0220EB16"/>
    <w:rsid w:val="029F7E83"/>
    <w:rsid w:val="02D35095"/>
    <w:rsid w:val="02DD1E1B"/>
    <w:rsid w:val="02E2E7EA"/>
    <w:rsid w:val="02EC416C"/>
    <w:rsid w:val="02F860F5"/>
    <w:rsid w:val="0339D6AA"/>
    <w:rsid w:val="034A5D60"/>
    <w:rsid w:val="035C2170"/>
    <w:rsid w:val="037BC3D1"/>
    <w:rsid w:val="0385CC3F"/>
    <w:rsid w:val="03BDBA84"/>
    <w:rsid w:val="03D39D9B"/>
    <w:rsid w:val="03E63D17"/>
    <w:rsid w:val="03FB1F68"/>
    <w:rsid w:val="040556BB"/>
    <w:rsid w:val="0440FD0B"/>
    <w:rsid w:val="044348DB"/>
    <w:rsid w:val="04521F70"/>
    <w:rsid w:val="0469CADA"/>
    <w:rsid w:val="0482587F"/>
    <w:rsid w:val="049D1209"/>
    <w:rsid w:val="04AC9886"/>
    <w:rsid w:val="04E82A00"/>
    <w:rsid w:val="055767D5"/>
    <w:rsid w:val="055C0FD0"/>
    <w:rsid w:val="0591EBC8"/>
    <w:rsid w:val="05DD0AC4"/>
    <w:rsid w:val="05DF193C"/>
    <w:rsid w:val="05F2834A"/>
    <w:rsid w:val="060C8391"/>
    <w:rsid w:val="06205144"/>
    <w:rsid w:val="06665036"/>
    <w:rsid w:val="0667B8CC"/>
    <w:rsid w:val="066851F5"/>
    <w:rsid w:val="06740BEB"/>
    <w:rsid w:val="06A5FCD2"/>
    <w:rsid w:val="06E5CC95"/>
    <w:rsid w:val="070ADB31"/>
    <w:rsid w:val="0730BE39"/>
    <w:rsid w:val="07386EFF"/>
    <w:rsid w:val="0775C115"/>
    <w:rsid w:val="077A49A9"/>
    <w:rsid w:val="07B374D8"/>
    <w:rsid w:val="07F432A1"/>
    <w:rsid w:val="08049CF8"/>
    <w:rsid w:val="08234183"/>
    <w:rsid w:val="08430972"/>
    <w:rsid w:val="086F352B"/>
    <w:rsid w:val="08922954"/>
    <w:rsid w:val="08E82F0B"/>
    <w:rsid w:val="0987A67B"/>
    <w:rsid w:val="09B99EE4"/>
    <w:rsid w:val="09C037FB"/>
    <w:rsid w:val="0A347E7A"/>
    <w:rsid w:val="0A67BD11"/>
    <w:rsid w:val="0AB5A140"/>
    <w:rsid w:val="0B04D53A"/>
    <w:rsid w:val="0B923CB9"/>
    <w:rsid w:val="0BA67D7E"/>
    <w:rsid w:val="0BAA7DAE"/>
    <w:rsid w:val="0BCE6A4D"/>
    <w:rsid w:val="0BD093A0"/>
    <w:rsid w:val="0C1D54A7"/>
    <w:rsid w:val="0C2ED269"/>
    <w:rsid w:val="0C7319F5"/>
    <w:rsid w:val="0CA610F7"/>
    <w:rsid w:val="0CC537C8"/>
    <w:rsid w:val="0CD937C4"/>
    <w:rsid w:val="0CE9E1A8"/>
    <w:rsid w:val="0D27E7E1"/>
    <w:rsid w:val="0D3F3BE8"/>
    <w:rsid w:val="0D43C037"/>
    <w:rsid w:val="0D56FFF2"/>
    <w:rsid w:val="0D60768F"/>
    <w:rsid w:val="0D6A3AAE"/>
    <w:rsid w:val="0D6C6401"/>
    <w:rsid w:val="0DAE78D5"/>
    <w:rsid w:val="0DCC00F2"/>
    <w:rsid w:val="0E10AEEC"/>
    <w:rsid w:val="0E1AF957"/>
    <w:rsid w:val="0E3A526F"/>
    <w:rsid w:val="0E6D01F8"/>
    <w:rsid w:val="0E7EE975"/>
    <w:rsid w:val="0EC4856D"/>
    <w:rsid w:val="0ECC5C37"/>
    <w:rsid w:val="0EE75F81"/>
    <w:rsid w:val="0F083462"/>
    <w:rsid w:val="0F1FF222"/>
    <w:rsid w:val="0F5C4694"/>
    <w:rsid w:val="0F952495"/>
    <w:rsid w:val="0F97B3C1"/>
    <w:rsid w:val="0FA2FB6D"/>
    <w:rsid w:val="0FC7FF90"/>
    <w:rsid w:val="1014716D"/>
    <w:rsid w:val="104A05DA"/>
    <w:rsid w:val="10FC82FF"/>
    <w:rsid w:val="1100E16C"/>
    <w:rsid w:val="11027EDF"/>
    <w:rsid w:val="111047FB"/>
    <w:rsid w:val="1136D38C"/>
    <w:rsid w:val="1147159B"/>
    <w:rsid w:val="11725335"/>
    <w:rsid w:val="117B20BA"/>
    <w:rsid w:val="1191BF6B"/>
    <w:rsid w:val="11AEB254"/>
    <w:rsid w:val="11CD939F"/>
    <w:rsid w:val="11D4D9FF"/>
    <w:rsid w:val="122109AD"/>
    <w:rsid w:val="12611C22"/>
    <w:rsid w:val="12B065EA"/>
    <w:rsid w:val="12C39E7F"/>
    <w:rsid w:val="12FCE8BF"/>
    <w:rsid w:val="12FE3D15"/>
    <w:rsid w:val="13436851"/>
    <w:rsid w:val="136D5650"/>
    <w:rsid w:val="13E34F58"/>
    <w:rsid w:val="13E813E2"/>
    <w:rsid w:val="13E86C17"/>
    <w:rsid w:val="1419E4C9"/>
    <w:rsid w:val="14468CC8"/>
    <w:rsid w:val="1469E76A"/>
    <w:rsid w:val="14A1CDA8"/>
    <w:rsid w:val="14CC5D35"/>
    <w:rsid w:val="15043F11"/>
    <w:rsid w:val="15689518"/>
    <w:rsid w:val="15733C2E"/>
    <w:rsid w:val="1593729E"/>
    <w:rsid w:val="159511E8"/>
    <w:rsid w:val="15A1F7D4"/>
    <w:rsid w:val="15B15861"/>
    <w:rsid w:val="15BFECD4"/>
    <w:rsid w:val="15DE8E20"/>
    <w:rsid w:val="15FE061E"/>
    <w:rsid w:val="16035B60"/>
    <w:rsid w:val="160A2EC8"/>
    <w:rsid w:val="16238BED"/>
    <w:rsid w:val="16356384"/>
    <w:rsid w:val="163B4D9D"/>
    <w:rsid w:val="1684C4CD"/>
    <w:rsid w:val="1692927F"/>
    <w:rsid w:val="169C360A"/>
    <w:rsid w:val="16E62B68"/>
    <w:rsid w:val="16EFF2DC"/>
    <w:rsid w:val="16F6C260"/>
    <w:rsid w:val="16FF0128"/>
    <w:rsid w:val="1712B709"/>
    <w:rsid w:val="177EE76B"/>
    <w:rsid w:val="17AAF07E"/>
    <w:rsid w:val="17C8ECE5"/>
    <w:rsid w:val="17D1AE38"/>
    <w:rsid w:val="180532C9"/>
    <w:rsid w:val="183104A2"/>
    <w:rsid w:val="18688747"/>
    <w:rsid w:val="18987525"/>
    <w:rsid w:val="189BD9BC"/>
    <w:rsid w:val="193FBE5B"/>
    <w:rsid w:val="1940DCD3"/>
    <w:rsid w:val="1948B1D6"/>
    <w:rsid w:val="195DABFE"/>
    <w:rsid w:val="195F9E73"/>
    <w:rsid w:val="196B1D62"/>
    <w:rsid w:val="198A6B98"/>
    <w:rsid w:val="19CBC16B"/>
    <w:rsid w:val="19F67E89"/>
    <w:rsid w:val="1A1B7833"/>
    <w:rsid w:val="1A37AA1D"/>
    <w:rsid w:val="1A50AB3C"/>
    <w:rsid w:val="1A51FEF3"/>
    <w:rsid w:val="1ABA18F3"/>
    <w:rsid w:val="1AD8134D"/>
    <w:rsid w:val="1AE7E8F8"/>
    <w:rsid w:val="1B07FAA4"/>
    <w:rsid w:val="1B138DF3"/>
    <w:rsid w:val="1B211F04"/>
    <w:rsid w:val="1B40F54A"/>
    <w:rsid w:val="1B738095"/>
    <w:rsid w:val="1BB6221E"/>
    <w:rsid w:val="1BE0DBCC"/>
    <w:rsid w:val="1BEC7B9D"/>
    <w:rsid w:val="1BFEA325"/>
    <w:rsid w:val="1C1B3A42"/>
    <w:rsid w:val="1C3F5D6A"/>
    <w:rsid w:val="1C40CA55"/>
    <w:rsid w:val="1C62049C"/>
    <w:rsid w:val="1CB4E9D5"/>
    <w:rsid w:val="1CB653D0"/>
    <w:rsid w:val="1CE39BF7"/>
    <w:rsid w:val="1CE8624F"/>
    <w:rsid w:val="1D0CEA3D"/>
    <w:rsid w:val="1D454BD1"/>
    <w:rsid w:val="1D884BFE"/>
    <w:rsid w:val="1D970665"/>
    <w:rsid w:val="1DB71E44"/>
    <w:rsid w:val="1DE19E5E"/>
    <w:rsid w:val="1DF861C4"/>
    <w:rsid w:val="1E1A50BC"/>
    <w:rsid w:val="1E7B75C5"/>
    <w:rsid w:val="1F1190A3"/>
    <w:rsid w:val="1F1D7F6E"/>
    <w:rsid w:val="1F4BF044"/>
    <w:rsid w:val="1F6005EF"/>
    <w:rsid w:val="1FB5DE85"/>
    <w:rsid w:val="1FB88672"/>
    <w:rsid w:val="1FBDA051"/>
    <w:rsid w:val="1FD03544"/>
    <w:rsid w:val="1FF49424"/>
    <w:rsid w:val="200A4D07"/>
    <w:rsid w:val="2017ED50"/>
    <w:rsid w:val="201F405C"/>
    <w:rsid w:val="2078F071"/>
    <w:rsid w:val="208805C0"/>
    <w:rsid w:val="20C3CA13"/>
    <w:rsid w:val="20D5AF8B"/>
    <w:rsid w:val="213EA9B1"/>
    <w:rsid w:val="216663E0"/>
    <w:rsid w:val="21807E04"/>
    <w:rsid w:val="21EBE103"/>
    <w:rsid w:val="22390831"/>
    <w:rsid w:val="22694FD2"/>
    <w:rsid w:val="22BF9A8E"/>
    <w:rsid w:val="22C6AE2B"/>
    <w:rsid w:val="23023441"/>
    <w:rsid w:val="23B81892"/>
    <w:rsid w:val="23B96514"/>
    <w:rsid w:val="23F0F091"/>
    <w:rsid w:val="24295138"/>
    <w:rsid w:val="2469BF3D"/>
    <w:rsid w:val="24767A79"/>
    <w:rsid w:val="248333DF"/>
    <w:rsid w:val="2487E7C5"/>
    <w:rsid w:val="2512D381"/>
    <w:rsid w:val="251AE64A"/>
    <w:rsid w:val="2524F009"/>
    <w:rsid w:val="252C6167"/>
    <w:rsid w:val="258D7014"/>
    <w:rsid w:val="259A8ABF"/>
    <w:rsid w:val="25ED6461"/>
    <w:rsid w:val="262BA136"/>
    <w:rsid w:val="26421E54"/>
    <w:rsid w:val="26475F65"/>
    <w:rsid w:val="264AAD4B"/>
    <w:rsid w:val="265FB05B"/>
    <w:rsid w:val="267FF206"/>
    <w:rsid w:val="269817B0"/>
    <w:rsid w:val="27219952"/>
    <w:rsid w:val="2727FF74"/>
    <w:rsid w:val="272A6077"/>
    <w:rsid w:val="2757989B"/>
    <w:rsid w:val="279C3EDA"/>
    <w:rsid w:val="27BF8887"/>
    <w:rsid w:val="27D6972B"/>
    <w:rsid w:val="27D92740"/>
    <w:rsid w:val="28013E43"/>
    <w:rsid w:val="280277DD"/>
    <w:rsid w:val="280DFC46"/>
    <w:rsid w:val="2830A313"/>
    <w:rsid w:val="2833E811"/>
    <w:rsid w:val="2842EE46"/>
    <w:rsid w:val="2890038C"/>
    <w:rsid w:val="29185FA5"/>
    <w:rsid w:val="292A377A"/>
    <w:rsid w:val="29545294"/>
    <w:rsid w:val="298A3B93"/>
    <w:rsid w:val="299B1666"/>
    <w:rsid w:val="29A98141"/>
    <w:rsid w:val="29F35ACB"/>
    <w:rsid w:val="29F7A96B"/>
    <w:rsid w:val="2A776556"/>
    <w:rsid w:val="2AAC7BB0"/>
    <w:rsid w:val="2AC86E94"/>
    <w:rsid w:val="2AE80FC4"/>
    <w:rsid w:val="2B250F79"/>
    <w:rsid w:val="2B260BF4"/>
    <w:rsid w:val="2B291B38"/>
    <w:rsid w:val="2B842AE4"/>
    <w:rsid w:val="2B8AFD5B"/>
    <w:rsid w:val="2B9558AC"/>
    <w:rsid w:val="2BF02445"/>
    <w:rsid w:val="2BF85E37"/>
    <w:rsid w:val="2C26A218"/>
    <w:rsid w:val="2C5EDBA5"/>
    <w:rsid w:val="2C61D83C"/>
    <w:rsid w:val="2C6A3501"/>
    <w:rsid w:val="2CB9BEFE"/>
    <w:rsid w:val="2CB9EECF"/>
    <w:rsid w:val="2CC1DC55"/>
    <w:rsid w:val="2CF12A4C"/>
    <w:rsid w:val="2D3BEE4A"/>
    <w:rsid w:val="2D96CEFE"/>
    <w:rsid w:val="2DA6DB7E"/>
    <w:rsid w:val="2DEA22D6"/>
    <w:rsid w:val="2DEDE38E"/>
    <w:rsid w:val="2E61D883"/>
    <w:rsid w:val="2E7C14E6"/>
    <w:rsid w:val="2E829B17"/>
    <w:rsid w:val="2EC6CBEE"/>
    <w:rsid w:val="2F22B82F"/>
    <w:rsid w:val="2F8956BE"/>
    <w:rsid w:val="2FA5880B"/>
    <w:rsid w:val="2FB19A95"/>
    <w:rsid w:val="2FDF85C1"/>
    <w:rsid w:val="2FF54A1A"/>
    <w:rsid w:val="2FFF8B50"/>
    <w:rsid w:val="3004BCDE"/>
    <w:rsid w:val="30497CCB"/>
    <w:rsid w:val="308F4DD6"/>
    <w:rsid w:val="3094CB32"/>
    <w:rsid w:val="30AC187B"/>
    <w:rsid w:val="30EEBC9A"/>
    <w:rsid w:val="3117A4A1"/>
    <w:rsid w:val="314E28BB"/>
    <w:rsid w:val="3152FE5B"/>
    <w:rsid w:val="31848C8F"/>
    <w:rsid w:val="31DFF445"/>
    <w:rsid w:val="31F558B4"/>
    <w:rsid w:val="32274D95"/>
    <w:rsid w:val="3243DCD4"/>
    <w:rsid w:val="325F6DE3"/>
    <w:rsid w:val="32A49551"/>
    <w:rsid w:val="330CD6CF"/>
    <w:rsid w:val="33288EE2"/>
    <w:rsid w:val="333A5005"/>
    <w:rsid w:val="33AD99C2"/>
    <w:rsid w:val="33FE0378"/>
    <w:rsid w:val="34044449"/>
    <w:rsid w:val="341AE3B7"/>
    <w:rsid w:val="345A9891"/>
    <w:rsid w:val="34737092"/>
    <w:rsid w:val="34950CBD"/>
    <w:rsid w:val="34A54798"/>
    <w:rsid w:val="34CA38BB"/>
    <w:rsid w:val="34D46B53"/>
    <w:rsid w:val="34E1AEF1"/>
    <w:rsid w:val="34EE8297"/>
    <w:rsid w:val="34F8E232"/>
    <w:rsid w:val="34FB8C79"/>
    <w:rsid w:val="352C13E1"/>
    <w:rsid w:val="355DA60C"/>
    <w:rsid w:val="356DDAE4"/>
    <w:rsid w:val="35827878"/>
    <w:rsid w:val="358EC1C4"/>
    <w:rsid w:val="35928DE6"/>
    <w:rsid w:val="3594DD4B"/>
    <w:rsid w:val="35A41DDF"/>
    <w:rsid w:val="35B70241"/>
    <w:rsid w:val="35FFDB02"/>
    <w:rsid w:val="3659D01C"/>
    <w:rsid w:val="365C1FDC"/>
    <w:rsid w:val="367DEEB2"/>
    <w:rsid w:val="36BB9E0F"/>
    <w:rsid w:val="36BDCC4C"/>
    <w:rsid w:val="370F878D"/>
    <w:rsid w:val="37166E85"/>
    <w:rsid w:val="3725E7E2"/>
    <w:rsid w:val="372C1827"/>
    <w:rsid w:val="3749C371"/>
    <w:rsid w:val="374DF476"/>
    <w:rsid w:val="37A7BDEC"/>
    <w:rsid w:val="380A317D"/>
    <w:rsid w:val="381FECA4"/>
    <w:rsid w:val="383E21EA"/>
    <w:rsid w:val="38525995"/>
    <w:rsid w:val="385E840B"/>
    <w:rsid w:val="386AD333"/>
    <w:rsid w:val="389434C0"/>
    <w:rsid w:val="38A245E5"/>
    <w:rsid w:val="392939F8"/>
    <w:rsid w:val="39426050"/>
    <w:rsid w:val="39472437"/>
    <w:rsid w:val="3971B55F"/>
    <w:rsid w:val="3980DEC5"/>
    <w:rsid w:val="39813FC9"/>
    <w:rsid w:val="39915ED0"/>
    <w:rsid w:val="399F9E0A"/>
    <w:rsid w:val="39EC84F7"/>
    <w:rsid w:val="3A69A5DC"/>
    <w:rsid w:val="3A8EA3D1"/>
    <w:rsid w:val="3AC1EA18"/>
    <w:rsid w:val="3AC50A59"/>
    <w:rsid w:val="3AEC4520"/>
    <w:rsid w:val="3B29B154"/>
    <w:rsid w:val="3B29B987"/>
    <w:rsid w:val="3B3D4B1E"/>
    <w:rsid w:val="3B57F55F"/>
    <w:rsid w:val="3B7E4BC3"/>
    <w:rsid w:val="3BCD2C11"/>
    <w:rsid w:val="3C025D5B"/>
    <w:rsid w:val="3C032DD7"/>
    <w:rsid w:val="3C442189"/>
    <w:rsid w:val="3C69CCE2"/>
    <w:rsid w:val="3C7E3519"/>
    <w:rsid w:val="3C9E991D"/>
    <w:rsid w:val="3CA59BEC"/>
    <w:rsid w:val="3CE5F2CE"/>
    <w:rsid w:val="3CF35DC7"/>
    <w:rsid w:val="3D14237E"/>
    <w:rsid w:val="3D3144F1"/>
    <w:rsid w:val="3D5A2735"/>
    <w:rsid w:val="3D84234E"/>
    <w:rsid w:val="3DFDDAF3"/>
    <w:rsid w:val="3E889137"/>
    <w:rsid w:val="3E97C5F8"/>
    <w:rsid w:val="3EA31D82"/>
    <w:rsid w:val="3EA4B84E"/>
    <w:rsid w:val="3EB7585E"/>
    <w:rsid w:val="3F1FC875"/>
    <w:rsid w:val="3F4F23D7"/>
    <w:rsid w:val="3F5753C0"/>
    <w:rsid w:val="3F5F45E9"/>
    <w:rsid w:val="3F7123BB"/>
    <w:rsid w:val="3FB34207"/>
    <w:rsid w:val="3FBFE713"/>
    <w:rsid w:val="3FE87B8C"/>
    <w:rsid w:val="4044E59C"/>
    <w:rsid w:val="40531B5B"/>
    <w:rsid w:val="4053F2ED"/>
    <w:rsid w:val="405C9153"/>
    <w:rsid w:val="40918A2F"/>
    <w:rsid w:val="40A062CD"/>
    <w:rsid w:val="40AB5A1E"/>
    <w:rsid w:val="40C94FE4"/>
    <w:rsid w:val="40FB164A"/>
    <w:rsid w:val="41234216"/>
    <w:rsid w:val="41645807"/>
    <w:rsid w:val="4186C31D"/>
    <w:rsid w:val="4218E014"/>
    <w:rsid w:val="422A5CF7"/>
    <w:rsid w:val="42472A7F"/>
    <w:rsid w:val="4247D323"/>
    <w:rsid w:val="42A062C9"/>
    <w:rsid w:val="42A0D886"/>
    <w:rsid w:val="42CBC448"/>
    <w:rsid w:val="42DD8052"/>
    <w:rsid w:val="42F3010E"/>
    <w:rsid w:val="43137D57"/>
    <w:rsid w:val="431502F7"/>
    <w:rsid w:val="431EB174"/>
    <w:rsid w:val="4325662A"/>
    <w:rsid w:val="434E271B"/>
    <w:rsid w:val="436F3F76"/>
    <w:rsid w:val="439004DD"/>
    <w:rsid w:val="43A31D5C"/>
    <w:rsid w:val="43A999E6"/>
    <w:rsid w:val="43E570FD"/>
    <w:rsid w:val="43FBC3BC"/>
    <w:rsid w:val="4409EFB3"/>
    <w:rsid w:val="440E98A9"/>
    <w:rsid w:val="4423308F"/>
    <w:rsid w:val="4432B70C"/>
    <w:rsid w:val="443A7237"/>
    <w:rsid w:val="443C332A"/>
    <w:rsid w:val="445A171F"/>
    <w:rsid w:val="44664D1B"/>
    <w:rsid w:val="446655E2"/>
    <w:rsid w:val="448AFB71"/>
    <w:rsid w:val="44B02D04"/>
    <w:rsid w:val="44DD1DB2"/>
    <w:rsid w:val="44DF7F75"/>
    <w:rsid w:val="44E9F77C"/>
    <w:rsid w:val="44EE265C"/>
    <w:rsid w:val="4514A84C"/>
    <w:rsid w:val="4543FABD"/>
    <w:rsid w:val="459AEB77"/>
    <w:rsid w:val="45A6B4B2"/>
    <w:rsid w:val="45A87060"/>
    <w:rsid w:val="45BCE5C5"/>
    <w:rsid w:val="45D8038B"/>
    <w:rsid w:val="45EF747B"/>
    <w:rsid w:val="4612CA9D"/>
    <w:rsid w:val="4626CBD2"/>
    <w:rsid w:val="4661E795"/>
    <w:rsid w:val="4689F6BD"/>
    <w:rsid w:val="46F1FE2B"/>
    <w:rsid w:val="470A3CCE"/>
    <w:rsid w:val="47104A9F"/>
    <w:rsid w:val="472344B3"/>
    <w:rsid w:val="47396B4F"/>
    <w:rsid w:val="479A9561"/>
    <w:rsid w:val="47A4417F"/>
    <w:rsid w:val="47ADB888"/>
    <w:rsid w:val="47CE9B5A"/>
    <w:rsid w:val="47D83062"/>
    <w:rsid w:val="47F12E11"/>
    <w:rsid w:val="4825C71E"/>
    <w:rsid w:val="48376A7A"/>
    <w:rsid w:val="483BD665"/>
    <w:rsid w:val="488CA02E"/>
    <w:rsid w:val="488DEB0A"/>
    <w:rsid w:val="489454E0"/>
    <w:rsid w:val="48EC4F91"/>
    <w:rsid w:val="495E6C94"/>
    <w:rsid w:val="496B2E95"/>
    <w:rsid w:val="49835B73"/>
    <w:rsid w:val="49ABF171"/>
    <w:rsid w:val="49D29F85"/>
    <w:rsid w:val="4A0DA14F"/>
    <w:rsid w:val="4A1F3D43"/>
    <w:rsid w:val="4A335D66"/>
    <w:rsid w:val="4A446B84"/>
    <w:rsid w:val="4A69771B"/>
    <w:rsid w:val="4A911DBD"/>
    <w:rsid w:val="4AA5DE74"/>
    <w:rsid w:val="4AAA75C2"/>
    <w:rsid w:val="4B439F32"/>
    <w:rsid w:val="4B631E8A"/>
    <w:rsid w:val="4B7D601A"/>
    <w:rsid w:val="4BABA51D"/>
    <w:rsid w:val="4BBEB851"/>
    <w:rsid w:val="4BCF50BE"/>
    <w:rsid w:val="4BDC0B99"/>
    <w:rsid w:val="4CA13554"/>
    <w:rsid w:val="4D4C35CA"/>
    <w:rsid w:val="4D5D0F35"/>
    <w:rsid w:val="4D6F787E"/>
    <w:rsid w:val="4D9F6858"/>
    <w:rsid w:val="4DA6E3E5"/>
    <w:rsid w:val="4DD1969C"/>
    <w:rsid w:val="4DF7EC12"/>
    <w:rsid w:val="4E5A8DB0"/>
    <w:rsid w:val="4E6EA873"/>
    <w:rsid w:val="4E6F8771"/>
    <w:rsid w:val="4E7724CD"/>
    <w:rsid w:val="4E91CD21"/>
    <w:rsid w:val="4EB2DDA5"/>
    <w:rsid w:val="4EBA3F59"/>
    <w:rsid w:val="4ECD0979"/>
    <w:rsid w:val="4F06E230"/>
    <w:rsid w:val="4F1151B6"/>
    <w:rsid w:val="4F14CCF8"/>
    <w:rsid w:val="4F161ECE"/>
    <w:rsid w:val="4F3CE83E"/>
    <w:rsid w:val="4F4F76FE"/>
    <w:rsid w:val="4F5BFFE9"/>
    <w:rsid w:val="4F794F97"/>
    <w:rsid w:val="4FAE87F9"/>
    <w:rsid w:val="4FB6FBB3"/>
    <w:rsid w:val="4FCD4884"/>
    <w:rsid w:val="5003EA7C"/>
    <w:rsid w:val="5007FF56"/>
    <w:rsid w:val="502F7532"/>
    <w:rsid w:val="504772FC"/>
    <w:rsid w:val="507BE77E"/>
    <w:rsid w:val="507E3527"/>
    <w:rsid w:val="50D263C8"/>
    <w:rsid w:val="50D8F194"/>
    <w:rsid w:val="50F7D04A"/>
    <w:rsid w:val="511ECE7C"/>
    <w:rsid w:val="512FAA9A"/>
    <w:rsid w:val="51500DAD"/>
    <w:rsid w:val="51618CD0"/>
    <w:rsid w:val="5194F2CF"/>
    <w:rsid w:val="51B5F126"/>
    <w:rsid w:val="51C21784"/>
    <w:rsid w:val="51EE0AB8"/>
    <w:rsid w:val="51F265CD"/>
    <w:rsid w:val="51FAF1E5"/>
    <w:rsid w:val="5228835B"/>
    <w:rsid w:val="52308D8A"/>
    <w:rsid w:val="5252207E"/>
    <w:rsid w:val="5260EC15"/>
    <w:rsid w:val="52628F54"/>
    <w:rsid w:val="52959010"/>
    <w:rsid w:val="52CF46F0"/>
    <w:rsid w:val="52F624B1"/>
    <w:rsid w:val="53189E95"/>
    <w:rsid w:val="53283347"/>
    <w:rsid w:val="533C3FB4"/>
    <w:rsid w:val="5347DF3B"/>
    <w:rsid w:val="53F64F46"/>
    <w:rsid w:val="54023A2B"/>
    <w:rsid w:val="540C3BAD"/>
    <w:rsid w:val="5423AFA8"/>
    <w:rsid w:val="54316071"/>
    <w:rsid w:val="54341056"/>
    <w:rsid w:val="544CC0BA"/>
    <w:rsid w:val="54733277"/>
    <w:rsid w:val="548EE845"/>
    <w:rsid w:val="54A3FFCB"/>
    <w:rsid w:val="54B24158"/>
    <w:rsid w:val="54E88900"/>
    <w:rsid w:val="54EB21C9"/>
    <w:rsid w:val="550FE556"/>
    <w:rsid w:val="552BC2F6"/>
    <w:rsid w:val="552CF18A"/>
    <w:rsid w:val="552D626A"/>
    <w:rsid w:val="554083AD"/>
    <w:rsid w:val="554D0407"/>
    <w:rsid w:val="555CAAFF"/>
    <w:rsid w:val="55A5D4EB"/>
    <w:rsid w:val="55AD1B49"/>
    <w:rsid w:val="55CAB8F0"/>
    <w:rsid w:val="55CCDE20"/>
    <w:rsid w:val="55D3D064"/>
    <w:rsid w:val="55DF3120"/>
    <w:rsid w:val="55ECB89E"/>
    <w:rsid w:val="55F68A98"/>
    <w:rsid w:val="560A7EA4"/>
    <w:rsid w:val="563FD02C"/>
    <w:rsid w:val="569C582C"/>
    <w:rsid w:val="56AA4184"/>
    <w:rsid w:val="56CDAB7A"/>
    <w:rsid w:val="578AFE6D"/>
    <w:rsid w:val="57981211"/>
    <w:rsid w:val="57A04F9B"/>
    <w:rsid w:val="57BD0B2A"/>
    <w:rsid w:val="57D114F8"/>
    <w:rsid w:val="57F80F03"/>
    <w:rsid w:val="57F96040"/>
    <w:rsid w:val="580B3FD6"/>
    <w:rsid w:val="588A7AE9"/>
    <w:rsid w:val="58B35A93"/>
    <w:rsid w:val="58C5E3F5"/>
    <w:rsid w:val="58D79A4F"/>
    <w:rsid w:val="58D98685"/>
    <w:rsid w:val="58DA7411"/>
    <w:rsid w:val="58E9B9D2"/>
    <w:rsid w:val="58EA0C29"/>
    <w:rsid w:val="5956AA88"/>
    <w:rsid w:val="59761028"/>
    <w:rsid w:val="59A5AD09"/>
    <w:rsid w:val="59C6A9E3"/>
    <w:rsid w:val="59F4D20A"/>
    <w:rsid w:val="5A2ECD30"/>
    <w:rsid w:val="5A30D040"/>
    <w:rsid w:val="5AA04F43"/>
    <w:rsid w:val="5ADD3410"/>
    <w:rsid w:val="5B4E7438"/>
    <w:rsid w:val="5B914FAF"/>
    <w:rsid w:val="5B977592"/>
    <w:rsid w:val="5BEAD885"/>
    <w:rsid w:val="5C510DA7"/>
    <w:rsid w:val="5C6CF7D6"/>
    <w:rsid w:val="5CB44DB2"/>
    <w:rsid w:val="5CCCA9F0"/>
    <w:rsid w:val="5CE64D89"/>
    <w:rsid w:val="5CF6FBE5"/>
    <w:rsid w:val="5D130A6B"/>
    <w:rsid w:val="5D35D860"/>
    <w:rsid w:val="5D4738F9"/>
    <w:rsid w:val="5D687102"/>
    <w:rsid w:val="5D796791"/>
    <w:rsid w:val="5D89326F"/>
    <w:rsid w:val="5DA7D3E6"/>
    <w:rsid w:val="5DBF44D8"/>
    <w:rsid w:val="5DC4CFDC"/>
    <w:rsid w:val="5DDEE249"/>
    <w:rsid w:val="5DFAFEA7"/>
    <w:rsid w:val="5EBAAB73"/>
    <w:rsid w:val="5EDBD2FB"/>
    <w:rsid w:val="5F304339"/>
    <w:rsid w:val="5F33C99F"/>
    <w:rsid w:val="5F50AAE9"/>
    <w:rsid w:val="5F5DCE79"/>
    <w:rsid w:val="5F9B9B40"/>
    <w:rsid w:val="5FC186FB"/>
    <w:rsid w:val="5FC18C31"/>
    <w:rsid w:val="5FC796C3"/>
    <w:rsid w:val="5FD29FE4"/>
    <w:rsid w:val="5FFB6942"/>
    <w:rsid w:val="5FFF1C19"/>
    <w:rsid w:val="60F4CBB7"/>
    <w:rsid w:val="6143F5FB"/>
    <w:rsid w:val="614D8F8C"/>
    <w:rsid w:val="616E7045"/>
    <w:rsid w:val="618D6D54"/>
    <w:rsid w:val="61A16E30"/>
    <w:rsid w:val="61BF2C94"/>
    <w:rsid w:val="61C976FF"/>
    <w:rsid w:val="61CD3CC7"/>
    <w:rsid w:val="61DFA7BF"/>
    <w:rsid w:val="620353BA"/>
    <w:rsid w:val="621939A6"/>
    <w:rsid w:val="621CADED"/>
    <w:rsid w:val="625B0E24"/>
    <w:rsid w:val="62A4909D"/>
    <w:rsid w:val="62AD3ABE"/>
    <w:rsid w:val="62F0152F"/>
    <w:rsid w:val="6303CA11"/>
    <w:rsid w:val="630F365D"/>
    <w:rsid w:val="6342B0EF"/>
    <w:rsid w:val="636CDC56"/>
    <w:rsid w:val="6384E6AC"/>
    <w:rsid w:val="638E1C96"/>
    <w:rsid w:val="640AB07E"/>
    <w:rsid w:val="641528FD"/>
    <w:rsid w:val="64484106"/>
    <w:rsid w:val="6478E605"/>
    <w:rsid w:val="64914AB5"/>
    <w:rsid w:val="64E98EC4"/>
    <w:rsid w:val="651AC16B"/>
    <w:rsid w:val="651AF229"/>
    <w:rsid w:val="65D463D8"/>
    <w:rsid w:val="65EF4493"/>
    <w:rsid w:val="660D7132"/>
    <w:rsid w:val="660FDA14"/>
    <w:rsid w:val="66738A4A"/>
    <w:rsid w:val="66A0D6AD"/>
    <w:rsid w:val="66C46E54"/>
    <w:rsid w:val="66D6C4DD"/>
    <w:rsid w:val="66F6811B"/>
    <w:rsid w:val="67028F52"/>
    <w:rsid w:val="675FDCDF"/>
    <w:rsid w:val="67703439"/>
    <w:rsid w:val="6772F687"/>
    <w:rsid w:val="677AB33D"/>
    <w:rsid w:val="67CC3771"/>
    <w:rsid w:val="67CE728B"/>
    <w:rsid w:val="67E9ACE3"/>
    <w:rsid w:val="67EE3669"/>
    <w:rsid w:val="680C0BA9"/>
    <w:rsid w:val="681C57FE"/>
    <w:rsid w:val="6820AD67"/>
    <w:rsid w:val="68223921"/>
    <w:rsid w:val="6858B916"/>
    <w:rsid w:val="68591EB6"/>
    <w:rsid w:val="687928FD"/>
    <w:rsid w:val="68873628"/>
    <w:rsid w:val="68DA24AD"/>
    <w:rsid w:val="68FC2BA2"/>
    <w:rsid w:val="6915F0CA"/>
    <w:rsid w:val="692BB7C1"/>
    <w:rsid w:val="693DB14E"/>
    <w:rsid w:val="6945424E"/>
    <w:rsid w:val="69A4B06B"/>
    <w:rsid w:val="69D488E4"/>
    <w:rsid w:val="69E6AEB7"/>
    <w:rsid w:val="6A0ADE75"/>
    <w:rsid w:val="6A2A1CD0"/>
    <w:rsid w:val="6A425720"/>
    <w:rsid w:val="6ABF8DBC"/>
    <w:rsid w:val="6AC78822"/>
    <w:rsid w:val="6AD981AF"/>
    <w:rsid w:val="6B2299AB"/>
    <w:rsid w:val="6B74516D"/>
    <w:rsid w:val="6B881966"/>
    <w:rsid w:val="6BB2F1FD"/>
    <w:rsid w:val="6BDEDB47"/>
    <w:rsid w:val="6BE56A4C"/>
    <w:rsid w:val="6BEDE563"/>
    <w:rsid w:val="6C2F8B3F"/>
    <w:rsid w:val="6C739DB6"/>
    <w:rsid w:val="6C9C979D"/>
    <w:rsid w:val="6CA28B3F"/>
    <w:rsid w:val="6D039171"/>
    <w:rsid w:val="6D188C23"/>
    <w:rsid w:val="6D20B71F"/>
    <w:rsid w:val="6D535DAE"/>
    <w:rsid w:val="6D54AE1B"/>
    <w:rsid w:val="6D7BC04E"/>
    <w:rsid w:val="6DF994F7"/>
    <w:rsid w:val="6E0917C2"/>
    <w:rsid w:val="6E1EE800"/>
    <w:rsid w:val="6E557C4F"/>
    <w:rsid w:val="6EE5FE16"/>
    <w:rsid w:val="6F799C11"/>
    <w:rsid w:val="6F8E4F46"/>
    <w:rsid w:val="6F939A43"/>
    <w:rsid w:val="6F9D44DA"/>
    <w:rsid w:val="6FB4E058"/>
    <w:rsid w:val="6FDEA201"/>
    <w:rsid w:val="6FE0EAD7"/>
    <w:rsid w:val="705B8A89"/>
    <w:rsid w:val="705BFB96"/>
    <w:rsid w:val="706B710A"/>
    <w:rsid w:val="70FF9B5B"/>
    <w:rsid w:val="71154DFF"/>
    <w:rsid w:val="7121CBFC"/>
    <w:rsid w:val="712615FD"/>
    <w:rsid w:val="718837FC"/>
    <w:rsid w:val="71B5D0AB"/>
    <w:rsid w:val="71C34697"/>
    <w:rsid w:val="71D0F63C"/>
    <w:rsid w:val="71E537C0"/>
    <w:rsid w:val="71E736C8"/>
    <w:rsid w:val="71F75AEA"/>
    <w:rsid w:val="71F812F6"/>
    <w:rsid w:val="722069C8"/>
    <w:rsid w:val="7224DEEB"/>
    <w:rsid w:val="72259DD4"/>
    <w:rsid w:val="72822AF5"/>
    <w:rsid w:val="72FC32F2"/>
    <w:rsid w:val="735124C0"/>
    <w:rsid w:val="73671EEA"/>
    <w:rsid w:val="736872BD"/>
    <w:rsid w:val="736CC69D"/>
    <w:rsid w:val="73C65A83"/>
    <w:rsid w:val="73EF78FB"/>
    <w:rsid w:val="7414D52F"/>
    <w:rsid w:val="741B7F21"/>
    <w:rsid w:val="744C2E4B"/>
    <w:rsid w:val="74531DFE"/>
    <w:rsid w:val="746FB3E6"/>
    <w:rsid w:val="748C72B0"/>
    <w:rsid w:val="74ACC77E"/>
    <w:rsid w:val="74B424F5"/>
    <w:rsid w:val="74C870E6"/>
    <w:rsid w:val="74CE75EB"/>
    <w:rsid w:val="74D1792C"/>
    <w:rsid w:val="74D4A644"/>
    <w:rsid w:val="74FABAC3"/>
    <w:rsid w:val="7516A617"/>
    <w:rsid w:val="75622AE4"/>
    <w:rsid w:val="7565F582"/>
    <w:rsid w:val="756F9103"/>
    <w:rsid w:val="76075A5D"/>
    <w:rsid w:val="760A3910"/>
    <w:rsid w:val="76120FC6"/>
    <w:rsid w:val="76177B58"/>
    <w:rsid w:val="76889D82"/>
    <w:rsid w:val="7688BB39"/>
    <w:rsid w:val="7749E593"/>
    <w:rsid w:val="77821E8B"/>
    <w:rsid w:val="779216D9"/>
    <w:rsid w:val="77AFDF51"/>
    <w:rsid w:val="77D6D710"/>
    <w:rsid w:val="77E73655"/>
    <w:rsid w:val="7816451C"/>
    <w:rsid w:val="781C670F"/>
    <w:rsid w:val="7824F4B1"/>
    <w:rsid w:val="783736D3"/>
    <w:rsid w:val="78A3063E"/>
    <w:rsid w:val="78CDA3C8"/>
    <w:rsid w:val="78DE56B1"/>
    <w:rsid w:val="78F7CA8F"/>
    <w:rsid w:val="791DEEEC"/>
    <w:rsid w:val="79429A41"/>
    <w:rsid w:val="796F8916"/>
    <w:rsid w:val="7971F2DF"/>
    <w:rsid w:val="79A7986F"/>
    <w:rsid w:val="79CD2DF1"/>
    <w:rsid w:val="79D2A664"/>
    <w:rsid w:val="79E2304F"/>
    <w:rsid w:val="79F29A34"/>
    <w:rsid w:val="79F60619"/>
    <w:rsid w:val="7A09CAB5"/>
    <w:rsid w:val="7A125350"/>
    <w:rsid w:val="7A89ED36"/>
    <w:rsid w:val="7A8F453A"/>
    <w:rsid w:val="7AA69A07"/>
    <w:rsid w:val="7AC109C8"/>
    <w:rsid w:val="7AF792FF"/>
    <w:rsid w:val="7B0D28D4"/>
    <w:rsid w:val="7B2C452A"/>
    <w:rsid w:val="7B3F4B7A"/>
    <w:rsid w:val="7B65D6EC"/>
    <w:rsid w:val="7B691060"/>
    <w:rsid w:val="7B975B94"/>
    <w:rsid w:val="7B9E3D30"/>
    <w:rsid w:val="7BA538EF"/>
    <w:rsid w:val="7BAE23B1"/>
    <w:rsid w:val="7BCE5BCF"/>
    <w:rsid w:val="7BF6B60F"/>
    <w:rsid w:val="7C069F2E"/>
    <w:rsid w:val="7C528DF1"/>
    <w:rsid w:val="7C7AE8FA"/>
    <w:rsid w:val="7C936360"/>
    <w:rsid w:val="7CD5B5AB"/>
    <w:rsid w:val="7CF44438"/>
    <w:rsid w:val="7CFA627D"/>
    <w:rsid w:val="7CFEA4E8"/>
    <w:rsid w:val="7D03B1AA"/>
    <w:rsid w:val="7D219FE6"/>
    <w:rsid w:val="7D22E0A1"/>
    <w:rsid w:val="7D418402"/>
    <w:rsid w:val="7D471149"/>
    <w:rsid w:val="7D971232"/>
    <w:rsid w:val="7D9BB951"/>
    <w:rsid w:val="7DA8532B"/>
    <w:rsid w:val="7DB305FB"/>
    <w:rsid w:val="7DB39613"/>
    <w:rsid w:val="7DD9443E"/>
    <w:rsid w:val="7DE6382A"/>
    <w:rsid w:val="7E08893C"/>
    <w:rsid w:val="7E4DCCB9"/>
    <w:rsid w:val="7E82FD73"/>
    <w:rsid w:val="7E8F6522"/>
    <w:rsid w:val="7ED798E0"/>
    <w:rsid w:val="7EEDB1F9"/>
    <w:rsid w:val="7F17698D"/>
    <w:rsid w:val="7F28E46D"/>
    <w:rsid w:val="7F44CF33"/>
    <w:rsid w:val="7F60A2A6"/>
    <w:rsid w:val="7F792567"/>
    <w:rsid w:val="7FF7EA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D89DACC"/>
  <w15:docId w15:val="{EE3B8E10-3C6F-4618-81A0-204DC4841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rsid w:val="00F0730D"/>
    <w:pPr>
      <w:ind w:firstLine="284"/>
      <w:jc w:val="both"/>
    </w:pPr>
    <w:rPr>
      <w:rFonts w:ascii="Times New Roman" w:hAnsi="Times New Roman"/>
      <w:sz w:val="21"/>
      <w:szCs w:val="22"/>
      <w:lang w:val="is-IS"/>
    </w:rPr>
  </w:style>
  <w:style w:type="paragraph" w:styleId="Fyrirsgn3">
    <w:name w:val="heading 3"/>
    <w:basedOn w:val="Venjulegur"/>
    <w:link w:val="Fyrirsgn3Staf"/>
    <w:uiPriority w:val="9"/>
    <w:qFormat/>
    <w:rsid w:val="002D15C6"/>
    <w:pPr>
      <w:spacing w:before="100" w:beforeAutospacing="1" w:after="100" w:afterAutospacing="1"/>
      <w:ind w:firstLine="0"/>
      <w:jc w:val="left"/>
      <w:outlineLvl w:val="2"/>
    </w:pPr>
    <w:rPr>
      <w:rFonts w:eastAsia="Times New Roman"/>
      <w:b/>
      <w:bCs/>
      <w:sz w:val="27"/>
      <w:szCs w:val="27"/>
      <w:lang w:eastAsia="is-IS"/>
    </w:rPr>
  </w:style>
  <w:style w:type="paragraph" w:styleId="Fyrirsgn4">
    <w:name w:val="heading 4"/>
    <w:basedOn w:val="Venjulegur"/>
    <w:next w:val="Venjulegur"/>
    <w:link w:val="Fyrirsgn4Staf"/>
    <w:uiPriority w:val="9"/>
    <w:semiHidden/>
    <w:unhideWhenUsed/>
    <w:qFormat/>
    <w:rsid w:val="00191B09"/>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paragraph" w:customStyle="1" w:styleId="Normalmija">
    <w:name w:val="Normal/miðjað"/>
    <w:basedOn w:val="Venjulegur"/>
    <w:qFormat/>
    <w:rsid w:val="007A08F8"/>
    <w:pPr>
      <w:ind w:firstLine="0"/>
      <w:jc w:val="center"/>
    </w:pPr>
  </w:style>
  <w:style w:type="paragraph" w:styleId="Enginbil">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Venjulegur"/>
    <w:next w:val="Venjulegur"/>
    <w:qFormat/>
    <w:rsid w:val="007A08F8"/>
    <w:pPr>
      <w:pBdr>
        <w:bottom w:val="single" w:sz="4" w:space="1" w:color="auto"/>
      </w:pBdr>
      <w:spacing w:before="120"/>
      <w:ind w:left="3402" w:right="3402" w:firstLine="0"/>
    </w:pPr>
  </w:style>
  <w:style w:type="paragraph" w:customStyle="1" w:styleId="Millifyrirsgn2">
    <w:name w:val="Millifyrirsögn 2"/>
    <w:basedOn w:val="Venjulegur"/>
    <w:next w:val="Venjulegur"/>
    <w:qFormat/>
    <w:rsid w:val="00117680"/>
    <w:pPr>
      <w:ind w:firstLine="0"/>
    </w:pPr>
    <w:rPr>
      <w:i/>
    </w:rPr>
  </w:style>
  <w:style w:type="paragraph" w:customStyle="1" w:styleId="Millifyrirsgn1">
    <w:name w:val="Millifyrirsögn 1"/>
    <w:basedOn w:val="Venjulegur"/>
    <w:next w:val="Venjulegur"/>
    <w:qFormat/>
    <w:rsid w:val="00117680"/>
    <w:pPr>
      <w:ind w:firstLine="0"/>
    </w:pPr>
    <w:rPr>
      <w:b/>
    </w:rPr>
  </w:style>
  <w:style w:type="paragraph" w:customStyle="1" w:styleId="Fyrirsgn-fylgiskjl">
    <w:name w:val="Fyrirsögn - fylgiskjöl"/>
    <w:basedOn w:val="Venjulegur"/>
    <w:next w:val="Venjulegur"/>
    <w:qFormat/>
    <w:rsid w:val="00322F35"/>
    <w:pPr>
      <w:ind w:firstLine="0"/>
      <w:jc w:val="left"/>
    </w:pPr>
    <w:rPr>
      <w:b/>
      <w:u w:val="single"/>
    </w:rPr>
  </w:style>
  <w:style w:type="paragraph" w:customStyle="1" w:styleId="Fyrirsgn-athugasemdir">
    <w:name w:val="Fyrirsögn - athugasemdir"/>
    <w:basedOn w:val="Venjulegur"/>
    <w:next w:val="Venjulegur"/>
    <w:qFormat/>
    <w:rsid w:val="00C35574"/>
    <w:pPr>
      <w:ind w:firstLine="0"/>
      <w:jc w:val="center"/>
    </w:pPr>
    <w:rPr>
      <w:spacing w:val="44"/>
    </w:rPr>
  </w:style>
  <w:style w:type="paragraph" w:customStyle="1" w:styleId="Fyrirsgn-skjalategund">
    <w:name w:val="Fyrirsögn - skjalategund"/>
    <w:basedOn w:val="Venjulegur"/>
    <w:next w:val="Venjulegur"/>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Venjulegur"/>
    <w:next w:val="Venjulegur"/>
    <w:qFormat/>
    <w:rsid w:val="002675EE"/>
    <w:pPr>
      <w:ind w:firstLine="0"/>
      <w:jc w:val="center"/>
    </w:pPr>
    <w:rPr>
      <w:rFonts w:eastAsiaTheme="minorHAnsi" w:cstheme="minorBidi"/>
      <w:b/>
    </w:rPr>
  </w:style>
  <w:style w:type="paragraph" w:styleId="Suhaus">
    <w:name w:val="header"/>
    <w:basedOn w:val="Venjulegur"/>
    <w:link w:val="SuhausStaf"/>
    <w:uiPriority w:val="99"/>
    <w:unhideWhenUsed/>
    <w:rsid w:val="006258D7"/>
    <w:pPr>
      <w:tabs>
        <w:tab w:val="center" w:pos="4536"/>
        <w:tab w:val="right" w:pos="9072"/>
      </w:tabs>
    </w:pPr>
  </w:style>
  <w:style w:type="paragraph" w:customStyle="1" w:styleId="Greinarnmer">
    <w:name w:val="Greinarnúmer"/>
    <w:basedOn w:val="Venjulegur"/>
    <w:next w:val="Venjulegur"/>
    <w:qFormat/>
    <w:rsid w:val="00895423"/>
    <w:pPr>
      <w:ind w:firstLine="0"/>
      <w:jc w:val="center"/>
    </w:pPr>
  </w:style>
  <w:style w:type="paragraph" w:customStyle="1" w:styleId="Greinarfyrirsgn">
    <w:name w:val="Greinarfyrirsögn"/>
    <w:basedOn w:val="Venjulegur"/>
    <w:next w:val="Venjulegur"/>
    <w:qFormat/>
    <w:rsid w:val="00895423"/>
    <w:pPr>
      <w:ind w:firstLine="0"/>
      <w:jc w:val="center"/>
    </w:pPr>
    <w:rPr>
      <w:i/>
    </w:rPr>
  </w:style>
  <w:style w:type="paragraph" w:customStyle="1" w:styleId="Kaflafyrirsgn">
    <w:name w:val="Kaflafyrirsögn"/>
    <w:basedOn w:val="Venjulegur"/>
    <w:next w:val="Venjulegur"/>
    <w:qFormat/>
    <w:rsid w:val="00895423"/>
    <w:pPr>
      <w:ind w:firstLine="0"/>
      <w:jc w:val="center"/>
    </w:pPr>
    <w:rPr>
      <w:b/>
    </w:rPr>
  </w:style>
  <w:style w:type="paragraph" w:customStyle="1" w:styleId="Kaflanmer">
    <w:name w:val="Kaflanúmer"/>
    <w:basedOn w:val="Venjulegur"/>
    <w:next w:val="Venjulegur"/>
    <w:qFormat/>
    <w:rsid w:val="00895423"/>
    <w:pPr>
      <w:ind w:firstLine="0"/>
      <w:jc w:val="center"/>
    </w:pPr>
    <w:rPr>
      <w:caps/>
    </w:rPr>
  </w:style>
  <w:style w:type="character" w:customStyle="1" w:styleId="SuhausStaf">
    <w:name w:val="Síðuhaus Staf"/>
    <w:link w:val="Suhaus"/>
    <w:uiPriority w:val="99"/>
    <w:rsid w:val="006258D7"/>
    <w:rPr>
      <w:rFonts w:ascii="Times New Roman" w:hAnsi="Times New Roman"/>
      <w:sz w:val="21"/>
      <w:szCs w:val="22"/>
      <w:lang w:eastAsia="en-US"/>
    </w:rPr>
  </w:style>
  <w:style w:type="paragraph" w:styleId="Suftur">
    <w:name w:val="footer"/>
    <w:basedOn w:val="Venjulegur"/>
    <w:link w:val="SufturStaf"/>
    <w:uiPriority w:val="99"/>
    <w:unhideWhenUsed/>
    <w:rsid w:val="006258D7"/>
    <w:pPr>
      <w:tabs>
        <w:tab w:val="center" w:pos="4536"/>
        <w:tab w:val="right" w:pos="9072"/>
      </w:tabs>
    </w:pPr>
  </w:style>
  <w:style w:type="character" w:customStyle="1" w:styleId="SufturStaf">
    <w:name w:val="Síðufótur Staf"/>
    <w:link w:val="Suftur"/>
    <w:uiPriority w:val="99"/>
    <w:rsid w:val="006258D7"/>
    <w:rPr>
      <w:rFonts w:ascii="Times New Roman" w:hAnsi="Times New Roman"/>
      <w:sz w:val="21"/>
      <w:szCs w:val="22"/>
      <w:lang w:eastAsia="en-US"/>
    </w:rPr>
  </w:style>
  <w:style w:type="character" w:styleId="Tengill">
    <w:name w:val="Hyperlink"/>
    <w:basedOn w:val="Sjlfgefinleturgermlsgreinar"/>
    <w:uiPriority w:val="99"/>
    <w:unhideWhenUsed/>
    <w:rsid w:val="00D512A4"/>
  </w:style>
  <w:style w:type="paragraph" w:styleId="Textineanmlsgreinar">
    <w:name w:val="footnote text"/>
    <w:basedOn w:val="Venjulegur"/>
    <w:link w:val="TextineanmlsgreinarStaf"/>
    <w:uiPriority w:val="99"/>
    <w:semiHidden/>
    <w:unhideWhenUsed/>
    <w:rsid w:val="005B4CD6"/>
    <w:pPr>
      <w:ind w:left="284" w:hanging="284"/>
    </w:pPr>
    <w:rPr>
      <w:sz w:val="18"/>
      <w:szCs w:val="20"/>
    </w:rPr>
  </w:style>
  <w:style w:type="character" w:customStyle="1" w:styleId="TextineanmlsgreinarStaf">
    <w:name w:val="Texti neðanmálsgreinar Staf"/>
    <w:link w:val="Textineanmlsgreinar"/>
    <w:uiPriority w:val="99"/>
    <w:semiHidden/>
    <w:rsid w:val="005B4CD6"/>
    <w:rPr>
      <w:rFonts w:ascii="Times New Roman" w:hAnsi="Times New Roman"/>
      <w:sz w:val="18"/>
      <w:lang w:eastAsia="en-US"/>
    </w:rPr>
  </w:style>
  <w:style w:type="character" w:styleId="Tilvsunneanmlsgrein">
    <w:name w:val="footnote reference"/>
    <w:uiPriority w:val="99"/>
    <w:semiHidden/>
    <w:unhideWhenUsed/>
    <w:rsid w:val="005B4CD6"/>
    <w:rPr>
      <w:vertAlign w:val="superscript"/>
    </w:rPr>
  </w:style>
  <w:style w:type="numbering" w:customStyle="1" w:styleId="Althingi---">
    <w:name w:val="Althingi - - -"/>
    <w:uiPriority w:val="99"/>
    <w:rsid w:val="00995085"/>
    <w:pPr>
      <w:numPr>
        <w:numId w:val="1"/>
      </w:numPr>
    </w:pPr>
  </w:style>
  <w:style w:type="numbering" w:customStyle="1" w:styleId="Althingi">
    <w:name w:val="Althingi • • •"/>
    <w:uiPriority w:val="99"/>
    <w:rsid w:val="00995085"/>
    <w:pPr>
      <w:numPr>
        <w:numId w:val="2"/>
      </w:numPr>
    </w:pPr>
  </w:style>
  <w:style w:type="numbering" w:customStyle="1" w:styleId="Althingi1-a-1-a">
    <w:name w:val="Althingi 1 - a - 1 -a"/>
    <w:uiPriority w:val="99"/>
    <w:rsid w:val="00A10AE9"/>
    <w:pPr>
      <w:numPr>
        <w:numId w:val="3"/>
      </w:numPr>
    </w:pPr>
  </w:style>
  <w:style w:type="numbering" w:customStyle="1" w:styleId="Althingia-1-a-1">
    <w:name w:val="Althingi a - 1 - a - 1"/>
    <w:uiPriority w:val="99"/>
    <w:rsid w:val="00A10AE9"/>
    <w:pPr>
      <w:numPr>
        <w:numId w:val="4"/>
      </w:numPr>
    </w:pPr>
  </w:style>
  <w:style w:type="numbering" w:customStyle="1" w:styleId="Althingii-1-i-1">
    <w:name w:val="Althingi i - 1 - i - 1"/>
    <w:uiPriority w:val="99"/>
    <w:rsid w:val="00A10AE9"/>
    <w:pPr>
      <w:numPr>
        <w:numId w:val="5"/>
      </w:numPr>
    </w:pPr>
  </w:style>
  <w:style w:type="paragraph" w:customStyle="1" w:styleId="Nmeringsskjalsmls">
    <w:name w:val="Númer þings/skjals/máls"/>
    <w:basedOn w:val="Venjulegur"/>
    <w:next w:val="Venjulegur"/>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Mlsgreinlista">
    <w:name w:val="List Paragraph"/>
    <w:basedOn w:val="Venjulegur"/>
    <w:uiPriority w:val="34"/>
    <w:unhideWhenUsed/>
    <w:qFormat/>
    <w:rsid w:val="00B20E81"/>
    <w:pPr>
      <w:ind w:left="720"/>
      <w:contextualSpacing/>
    </w:pPr>
  </w:style>
  <w:style w:type="paragraph" w:customStyle="1" w:styleId="Frrherra">
    <w:name w:val="Frá ...ráðherra."/>
    <w:basedOn w:val="Venjulegur"/>
    <w:next w:val="Venjulegur"/>
    <w:qFormat/>
    <w:rsid w:val="00E71F27"/>
    <w:pPr>
      <w:ind w:firstLine="0"/>
      <w:jc w:val="center"/>
    </w:pPr>
    <w:rPr>
      <w:rFonts w:eastAsiaTheme="minorHAnsi" w:cstheme="minorBidi"/>
    </w:rPr>
  </w:style>
  <w:style w:type="paragraph" w:customStyle="1" w:styleId="Fyrirsgn-greinarger">
    <w:name w:val="Fyrirsögn - greinargerð"/>
    <w:basedOn w:val="Venjulegur"/>
    <w:next w:val="Venjulegur"/>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6"/>
      </w:numPr>
    </w:pPr>
  </w:style>
  <w:style w:type="character" w:styleId="Tilvsunathugasemd">
    <w:name w:val="annotation reference"/>
    <w:basedOn w:val="Sjlfgefinleturgermlsgreinar"/>
    <w:uiPriority w:val="99"/>
    <w:semiHidden/>
    <w:unhideWhenUsed/>
    <w:rsid w:val="000027BC"/>
    <w:rPr>
      <w:sz w:val="16"/>
      <w:szCs w:val="16"/>
    </w:rPr>
  </w:style>
  <w:style w:type="paragraph" w:styleId="Textiathugasemdar">
    <w:name w:val="annotation text"/>
    <w:basedOn w:val="Venjulegur"/>
    <w:link w:val="TextiathugasemdarStaf"/>
    <w:uiPriority w:val="99"/>
    <w:unhideWhenUsed/>
    <w:rsid w:val="000027BC"/>
    <w:rPr>
      <w:sz w:val="20"/>
      <w:szCs w:val="20"/>
    </w:rPr>
  </w:style>
  <w:style w:type="character" w:customStyle="1" w:styleId="TextiathugasemdarStaf">
    <w:name w:val="Texti athugasemdar Staf"/>
    <w:basedOn w:val="Sjlfgefinleturgermlsgreinar"/>
    <w:link w:val="Textiathugasemdar"/>
    <w:uiPriority w:val="99"/>
    <w:rsid w:val="000027BC"/>
    <w:rPr>
      <w:rFonts w:ascii="Times New Roman" w:hAnsi="Times New Roman"/>
      <w:lang w:val="is-IS"/>
    </w:rPr>
  </w:style>
  <w:style w:type="paragraph" w:styleId="Efniathugasemdar">
    <w:name w:val="annotation subject"/>
    <w:basedOn w:val="Textiathugasemdar"/>
    <w:next w:val="Textiathugasemdar"/>
    <w:link w:val="EfniathugasemdarStaf"/>
    <w:uiPriority w:val="99"/>
    <w:semiHidden/>
    <w:unhideWhenUsed/>
    <w:rsid w:val="000027BC"/>
    <w:rPr>
      <w:b/>
      <w:bCs/>
    </w:rPr>
  </w:style>
  <w:style w:type="character" w:customStyle="1" w:styleId="EfniathugasemdarStaf">
    <w:name w:val="Efni athugasemdar Staf"/>
    <w:basedOn w:val="TextiathugasemdarStaf"/>
    <w:link w:val="Efniathugasemdar"/>
    <w:uiPriority w:val="99"/>
    <w:semiHidden/>
    <w:rsid w:val="000027BC"/>
    <w:rPr>
      <w:rFonts w:ascii="Times New Roman" w:hAnsi="Times New Roman"/>
      <w:b/>
      <w:bCs/>
      <w:lang w:val="is-IS"/>
    </w:rPr>
  </w:style>
  <w:style w:type="paragraph" w:styleId="Blrutexti">
    <w:name w:val="Balloon Text"/>
    <w:basedOn w:val="Venjulegur"/>
    <w:link w:val="BlrutextiStaf"/>
    <w:uiPriority w:val="99"/>
    <w:semiHidden/>
    <w:unhideWhenUsed/>
    <w:rsid w:val="000027BC"/>
    <w:rPr>
      <w:rFonts w:ascii="Segoe UI" w:hAnsi="Segoe UI" w:cs="Segoe UI"/>
      <w:sz w:val="18"/>
      <w:szCs w:val="18"/>
    </w:rPr>
  </w:style>
  <w:style w:type="character" w:customStyle="1" w:styleId="BlrutextiStaf">
    <w:name w:val="Blöðrutexti Staf"/>
    <w:basedOn w:val="Sjlfgefinleturgermlsgreinar"/>
    <w:link w:val="Blrutexti"/>
    <w:uiPriority w:val="99"/>
    <w:semiHidden/>
    <w:rsid w:val="000027BC"/>
    <w:rPr>
      <w:rFonts w:ascii="Segoe UI" w:hAnsi="Segoe UI" w:cs="Segoe UI"/>
      <w:sz w:val="18"/>
      <w:szCs w:val="18"/>
      <w:lang w:val="is-IS"/>
    </w:rPr>
  </w:style>
  <w:style w:type="paragraph" w:styleId="Venjulegtvefur">
    <w:name w:val="Normal (Web)"/>
    <w:basedOn w:val="Venjulegur"/>
    <w:uiPriority w:val="99"/>
    <w:semiHidden/>
    <w:unhideWhenUsed/>
    <w:rsid w:val="001A55D5"/>
    <w:pPr>
      <w:spacing w:before="100" w:beforeAutospacing="1" w:after="100" w:afterAutospacing="1"/>
      <w:ind w:firstLine="0"/>
      <w:jc w:val="left"/>
    </w:pPr>
    <w:rPr>
      <w:rFonts w:eastAsia="Times New Roman"/>
      <w:sz w:val="24"/>
      <w:szCs w:val="24"/>
    </w:rPr>
  </w:style>
  <w:style w:type="character" w:styleId="hersla">
    <w:name w:val="Emphasis"/>
    <w:basedOn w:val="Sjlfgefinleturgermlsgreinar"/>
    <w:uiPriority w:val="20"/>
    <w:qFormat/>
    <w:rsid w:val="001A55D5"/>
    <w:rPr>
      <w:i/>
      <w:iCs/>
    </w:rPr>
  </w:style>
  <w:style w:type="paragraph" w:styleId="Endurskoun">
    <w:name w:val="Revision"/>
    <w:hidden/>
    <w:uiPriority w:val="99"/>
    <w:semiHidden/>
    <w:rsid w:val="00A32418"/>
    <w:rPr>
      <w:rFonts w:ascii="Times New Roman" w:hAnsi="Times New Roman"/>
      <w:sz w:val="21"/>
      <w:szCs w:val="22"/>
      <w:lang w:val="is-IS"/>
    </w:rPr>
  </w:style>
  <w:style w:type="character" w:customStyle="1" w:styleId="Fyrirsgn3Staf">
    <w:name w:val="Fyrirsögn 3 Staf"/>
    <w:basedOn w:val="Sjlfgefinleturgermlsgreinar"/>
    <w:link w:val="Fyrirsgn3"/>
    <w:uiPriority w:val="9"/>
    <w:rsid w:val="002D15C6"/>
    <w:rPr>
      <w:rFonts w:ascii="Times New Roman" w:eastAsia="Times New Roman" w:hAnsi="Times New Roman"/>
      <w:b/>
      <w:bCs/>
      <w:sz w:val="27"/>
      <w:szCs w:val="27"/>
      <w:lang w:val="is-IS" w:eastAsia="is-IS"/>
    </w:rPr>
  </w:style>
  <w:style w:type="paragraph" w:customStyle="1" w:styleId="legp1paratext">
    <w:name w:val="legp1paratext"/>
    <w:basedOn w:val="Venjulegur"/>
    <w:rsid w:val="002D15C6"/>
    <w:pPr>
      <w:spacing w:before="100" w:beforeAutospacing="1" w:after="100" w:afterAutospacing="1"/>
      <w:ind w:firstLine="0"/>
      <w:jc w:val="left"/>
    </w:pPr>
    <w:rPr>
      <w:rFonts w:eastAsia="Times New Roman"/>
      <w:sz w:val="24"/>
      <w:szCs w:val="24"/>
      <w:lang w:eastAsia="is-IS"/>
    </w:rPr>
  </w:style>
  <w:style w:type="character" w:customStyle="1" w:styleId="legp1no">
    <w:name w:val="legp1no"/>
    <w:basedOn w:val="Sjlfgefinleturgermlsgreinar"/>
    <w:rsid w:val="002D15C6"/>
  </w:style>
  <w:style w:type="paragraph" w:customStyle="1" w:styleId="legclearfix">
    <w:name w:val="legclearfix"/>
    <w:basedOn w:val="Venjulegur"/>
    <w:rsid w:val="002D15C6"/>
    <w:pPr>
      <w:spacing w:before="100" w:beforeAutospacing="1" w:after="100" w:afterAutospacing="1"/>
      <w:ind w:firstLine="0"/>
      <w:jc w:val="left"/>
    </w:pPr>
    <w:rPr>
      <w:rFonts w:eastAsia="Times New Roman"/>
      <w:sz w:val="24"/>
      <w:szCs w:val="24"/>
      <w:lang w:eastAsia="is-IS"/>
    </w:rPr>
  </w:style>
  <w:style w:type="character" w:customStyle="1" w:styleId="legds">
    <w:name w:val="legds"/>
    <w:basedOn w:val="Sjlfgefinleturgermlsgreinar"/>
    <w:rsid w:val="002D15C6"/>
  </w:style>
  <w:style w:type="paragraph" w:customStyle="1" w:styleId="legp2paratext">
    <w:name w:val="legp2paratext"/>
    <w:basedOn w:val="Venjulegur"/>
    <w:rsid w:val="002D15C6"/>
    <w:pPr>
      <w:spacing w:before="100" w:beforeAutospacing="1" w:after="100" w:afterAutospacing="1"/>
      <w:ind w:firstLine="0"/>
      <w:jc w:val="left"/>
    </w:pPr>
    <w:rPr>
      <w:rFonts w:eastAsia="Times New Roman"/>
      <w:sz w:val="24"/>
      <w:szCs w:val="24"/>
      <w:lang w:eastAsia="is-IS"/>
    </w:rPr>
  </w:style>
  <w:style w:type="character" w:customStyle="1" w:styleId="Fyrirsgn4Staf">
    <w:name w:val="Fyrirsögn 4 Staf"/>
    <w:basedOn w:val="Sjlfgefinleturgermlsgreinar"/>
    <w:link w:val="Fyrirsgn4"/>
    <w:uiPriority w:val="9"/>
    <w:semiHidden/>
    <w:rsid w:val="00191B09"/>
    <w:rPr>
      <w:rFonts w:asciiTheme="majorHAnsi" w:eastAsiaTheme="majorEastAsia" w:hAnsiTheme="majorHAnsi" w:cstheme="majorBidi"/>
      <w:i/>
      <w:iCs/>
      <w:color w:val="2E74B5" w:themeColor="accent1" w:themeShade="BF"/>
      <w:sz w:val="21"/>
      <w:szCs w:val="22"/>
      <w:lang w:val="is-IS"/>
    </w:rPr>
  </w:style>
  <w:style w:type="paragraph" w:customStyle="1" w:styleId="ti-art">
    <w:name w:val="ti-art"/>
    <w:basedOn w:val="Venjulegur"/>
    <w:rsid w:val="009F6526"/>
    <w:pPr>
      <w:spacing w:before="100" w:beforeAutospacing="1" w:after="100" w:afterAutospacing="1"/>
      <w:ind w:firstLine="0"/>
      <w:jc w:val="left"/>
    </w:pPr>
    <w:rPr>
      <w:rFonts w:eastAsia="Times New Roman"/>
      <w:sz w:val="24"/>
      <w:szCs w:val="24"/>
      <w:lang w:eastAsia="is-IS"/>
    </w:rPr>
  </w:style>
  <w:style w:type="paragraph" w:customStyle="1" w:styleId="Normal1">
    <w:name w:val="Normal1"/>
    <w:basedOn w:val="Venjulegur"/>
    <w:rsid w:val="009F6526"/>
    <w:pPr>
      <w:spacing w:before="100" w:beforeAutospacing="1" w:after="100" w:afterAutospacing="1"/>
      <w:ind w:firstLine="0"/>
      <w:jc w:val="left"/>
    </w:pPr>
    <w:rPr>
      <w:rFonts w:eastAsia="Times New Roman"/>
      <w:sz w:val="24"/>
      <w:szCs w:val="24"/>
      <w:lang w:eastAsia="is-I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9421632">
      <w:bodyDiv w:val="1"/>
      <w:marLeft w:val="0"/>
      <w:marRight w:val="0"/>
      <w:marTop w:val="0"/>
      <w:marBottom w:val="0"/>
      <w:divBdr>
        <w:top w:val="none" w:sz="0" w:space="0" w:color="auto"/>
        <w:left w:val="none" w:sz="0" w:space="0" w:color="auto"/>
        <w:bottom w:val="none" w:sz="0" w:space="0" w:color="auto"/>
        <w:right w:val="none" w:sz="0" w:space="0" w:color="auto"/>
      </w:divBdr>
    </w:div>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430128210">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 w:id="739443974">
      <w:bodyDiv w:val="1"/>
      <w:marLeft w:val="0"/>
      <w:marRight w:val="0"/>
      <w:marTop w:val="0"/>
      <w:marBottom w:val="0"/>
      <w:divBdr>
        <w:top w:val="none" w:sz="0" w:space="0" w:color="auto"/>
        <w:left w:val="none" w:sz="0" w:space="0" w:color="auto"/>
        <w:bottom w:val="none" w:sz="0" w:space="0" w:color="auto"/>
        <w:right w:val="none" w:sz="0" w:space="0" w:color="auto"/>
      </w:divBdr>
    </w:div>
    <w:div w:id="880508716">
      <w:bodyDiv w:val="1"/>
      <w:marLeft w:val="0"/>
      <w:marRight w:val="0"/>
      <w:marTop w:val="0"/>
      <w:marBottom w:val="0"/>
      <w:divBdr>
        <w:top w:val="none" w:sz="0" w:space="0" w:color="auto"/>
        <w:left w:val="none" w:sz="0" w:space="0" w:color="auto"/>
        <w:bottom w:val="none" w:sz="0" w:space="0" w:color="auto"/>
        <w:right w:val="none" w:sz="0" w:space="0" w:color="auto"/>
      </w:divBdr>
    </w:div>
    <w:div w:id="991714482">
      <w:bodyDiv w:val="1"/>
      <w:marLeft w:val="0"/>
      <w:marRight w:val="0"/>
      <w:marTop w:val="0"/>
      <w:marBottom w:val="0"/>
      <w:divBdr>
        <w:top w:val="none" w:sz="0" w:space="0" w:color="auto"/>
        <w:left w:val="none" w:sz="0" w:space="0" w:color="auto"/>
        <w:bottom w:val="none" w:sz="0" w:space="0" w:color="auto"/>
        <w:right w:val="none" w:sz="0" w:space="0" w:color="auto"/>
      </w:divBdr>
    </w:div>
    <w:div w:id="1195657835">
      <w:bodyDiv w:val="1"/>
      <w:marLeft w:val="0"/>
      <w:marRight w:val="0"/>
      <w:marTop w:val="0"/>
      <w:marBottom w:val="0"/>
      <w:divBdr>
        <w:top w:val="none" w:sz="0" w:space="0" w:color="auto"/>
        <w:left w:val="none" w:sz="0" w:space="0" w:color="auto"/>
        <w:bottom w:val="none" w:sz="0" w:space="0" w:color="auto"/>
        <w:right w:val="none" w:sz="0" w:space="0" w:color="auto"/>
      </w:divBdr>
    </w:div>
    <w:div w:id="1296370025">
      <w:bodyDiv w:val="1"/>
      <w:marLeft w:val="0"/>
      <w:marRight w:val="0"/>
      <w:marTop w:val="0"/>
      <w:marBottom w:val="0"/>
      <w:divBdr>
        <w:top w:val="none" w:sz="0" w:space="0" w:color="auto"/>
        <w:left w:val="none" w:sz="0" w:space="0" w:color="auto"/>
        <w:bottom w:val="none" w:sz="0" w:space="0" w:color="auto"/>
        <w:right w:val="none" w:sz="0" w:space="0" w:color="auto"/>
      </w:divBdr>
    </w:div>
    <w:div w:id="1313946753">
      <w:bodyDiv w:val="1"/>
      <w:marLeft w:val="0"/>
      <w:marRight w:val="0"/>
      <w:marTop w:val="0"/>
      <w:marBottom w:val="0"/>
      <w:divBdr>
        <w:top w:val="none" w:sz="0" w:space="0" w:color="auto"/>
        <w:left w:val="none" w:sz="0" w:space="0" w:color="auto"/>
        <w:bottom w:val="none" w:sz="0" w:space="0" w:color="auto"/>
        <w:right w:val="none" w:sz="0" w:space="0" w:color="auto"/>
      </w:divBdr>
    </w:div>
    <w:div w:id="1396853297">
      <w:bodyDiv w:val="1"/>
      <w:marLeft w:val="0"/>
      <w:marRight w:val="0"/>
      <w:marTop w:val="0"/>
      <w:marBottom w:val="0"/>
      <w:divBdr>
        <w:top w:val="none" w:sz="0" w:space="0" w:color="auto"/>
        <w:left w:val="none" w:sz="0" w:space="0" w:color="auto"/>
        <w:bottom w:val="none" w:sz="0" w:space="0" w:color="auto"/>
        <w:right w:val="none" w:sz="0" w:space="0" w:color="auto"/>
      </w:divBdr>
    </w:div>
    <w:div w:id="1459294488">
      <w:bodyDiv w:val="1"/>
      <w:marLeft w:val="0"/>
      <w:marRight w:val="0"/>
      <w:marTop w:val="0"/>
      <w:marBottom w:val="0"/>
      <w:divBdr>
        <w:top w:val="none" w:sz="0" w:space="0" w:color="auto"/>
        <w:left w:val="none" w:sz="0" w:space="0" w:color="auto"/>
        <w:bottom w:val="none" w:sz="0" w:space="0" w:color="auto"/>
        <w:right w:val="none" w:sz="0" w:space="0" w:color="auto"/>
      </w:divBdr>
    </w:div>
    <w:div w:id="1499928114">
      <w:bodyDiv w:val="1"/>
      <w:marLeft w:val="0"/>
      <w:marRight w:val="0"/>
      <w:marTop w:val="0"/>
      <w:marBottom w:val="0"/>
      <w:divBdr>
        <w:top w:val="none" w:sz="0" w:space="0" w:color="auto"/>
        <w:left w:val="none" w:sz="0" w:space="0" w:color="auto"/>
        <w:bottom w:val="none" w:sz="0" w:space="0" w:color="auto"/>
        <w:right w:val="none" w:sz="0" w:space="0" w:color="auto"/>
      </w:divBdr>
    </w:div>
    <w:div w:id="1903632206">
      <w:bodyDiv w:val="1"/>
      <w:marLeft w:val="0"/>
      <w:marRight w:val="0"/>
      <w:marTop w:val="0"/>
      <w:marBottom w:val="0"/>
      <w:divBdr>
        <w:top w:val="none" w:sz="0" w:space="0" w:color="auto"/>
        <w:left w:val="none" w:sz="0" w:space="0" w:color="auto"/>
        <w:bottom w:val="none" w:sz="0" w:space="0" w:color="auto"/>
        <w:right w:val="none" w:sz="0" w:space="0" w:color="auto"/>
      </w:divBdr>
    </w:div>
    <w:div w:id="2094086213">
      <w:bodyDiv w:val="1"/>
      <w:marLeft w:val="0"/>
      <w:marRight w:val="0"/>
      <w:marTop w:val="0"/>
      <w:marBottom w:val="0"/>
      <w:divBdr>
        <w:top w:val="none" w:sz="0" w:space="0" w:color="auto"/>
        <w:left w:val="none" w:sz="0" w:space="0" w:color="auto"/>
        <w:bottom w:val="none" w:sz="0" w:space="0" w:color="auto"/>
        <w:right w:val="none" w:sz="0" w:space="0" w:color="auto"/>
      </w:divBdr>
    </w:div>
    <w:div w:id="212114091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25170BB1688F046ADCDB9E8FB7E4D73" ma:contentTypeVersion="4" ma:contentTypeDescription="Create a new document." ma:contentTypeScope="" ma:versionID="feca7e7cc9af0255b8a0af56896e2dd5">
  <xsd:schema xmlns:xsd="http://www.w3.org/2001/XMLSchema" xmlns:xs="http://www.w3.org/2001/XMLSchema" xmlns:p="http://schemas.microsoft.com/office/2006/metadata/properties" xmlns:ns2="8c6f9153-e803-4ff3-8144-badade6de060" targetNamespace="http://schemas.microsoft.com/office/2006/metadata/properties" ma:root="true" ma:fieldsID="d3b0233ca853f692eb1a62527e68250d" ns2:_="">
    <xsd:import namespace="8c6f9153-e803-4ff3-8144-badade6de06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6f9153-e803-4ff3-8144-badade6de0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76C5EAB-9640-4648-ACCF-6C7E7D2E5F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6f9153-e803-4ff3-8144-badade6de0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7417A68-F4B4-49F0-B03B-DF3FD4A4571F}">
  <ds:schemaRefs>
    <ds:schemaRef ds:uri="http://schemas.openxmlformats.org/officeDocument/2006/bibliography"/>
  </ds:schemaRefs>
</ds:datastoreItem>
</file>

<file path=customXml/itemProps3.xml><?xml version="1.0" encoding="utf-8"?>
<ds:datastoreItem xmlns:ds="http://schemas.openxmlformats.org/officeDocument/2006/customXml" ds:itemID="{E11511EA-DDE4-462F-9926-2B717B000EF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1570AF5-BBDD-46DD-9671-E75C73D8C2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24</Pages>
  <Words>11254</Words>
  <Characters>64153</Characters>
  <Application>Microsoft Office Word</Application>
  <DocSecurity>0</DocSecurity>
  <Lines>534</Lines>
  <Paragraphs>150</Paragraphs>
  <ScaleCrop>false</ScaleCrop>
  <HeadingPairs>
    <vt:vector size="2" baseType="variant">
      <vt:variant>
        <vt:lpstr>Titill</vt:lpstr>
      </vt:variant>
      <vt:variant>
        <vt:i4>1</vt:i4>
      </vt:variant>
    </vt:vector>
  </HeadingPairs>
  <TitlesOfParts>
    <vt:vector size="1" baseType="lpstr">
      <vt:lpstr/>
    </vt:vector>
  </TitlesOfParts>
  <Company/>
  <LinksUpToDate>false</LinksUpToDate>
  <CharactersWithSpaces>75257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stjornarskjol@althingi.is</dc:creator>
  <cp:keywords/>
  <dc:description/>
  <cp:lastModifiedBy>Drífa Kristín Sigurðardóttir</cp:lastModifiedBy>
  <cp:revision>2</cp:revision>
  <cp:lastPrinted>2021-12-15T13:29:00Z</cp:lastPrinted>
  <dcterms:created xsi:type="dcterms:W3CDTF">2022-02-22T13:41:00Z</dcterms:created>
  <dcterms:modified xsi:type="dcterms:W3CDTF">2022-02-22T13:41:00Z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0x010100525170BB1688F046ADCDB9E8FB7E4D73</vt:lpwstr>
  </property>
</Properties>
</file>