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C4AD7" w14:textId="77777777" w:rsidR="007A6A74" w:rsidRPr="00DA1594" w:rsidRDefault="007A6A74" w:rsidP="00DA1594">
      <w:pPr>
        <w:jc w:val="both"/>
        <w:rPr>
          <w:rFonts w:ascii="Times New Roman" w:hAnsi="Times New Roman" w:cs="Times New Roman"/>
          <w:b/>
          <w:bCs/>
        </w:rPr>
      </w:pPr>
      <w:r w:rsidRPr="00DA1594">
        <w:rPr>
          <w:rFonts w:ascii="Times New Roman" w:hAnsi="Times New Roman" w:cs="Times New Roman"/>
          <w:b/>
          <w:bCs/>
        </w:rPr>
        <w:t xml:space="preserve">Niðurstöður samráðs </w:t>
      </w:r>
    </w:p>
    <w:p w14:paraId="1E44E06A" w14:textId="39562BFE" w:rsidR="00F21125" w:rsidRPr="00DA1594" w:rsidRDefault="007A6A74" w:rsidP="00DA1594">
      <w:pPr>
        <w:jc w:val="both"/>
        <w:rPr>
          <w:rFonts w:ascii="Times New Roman" w:hAnsi="Times New Roman" w:cs="Times New Roman"/>
          <w:i/>
          <w:iCs/>
          <w:lang w:val="is-IS"/>
        </w:rPr>
      </w:pPr>
      <w:r w:rsidRPr="00DA1594">
        <w:rPr>
          <w:rFonts w:ascii="Times New Roman" w:hAnsi="Times New Roman" w:cs="Times New Roman"/>
          <w:i/>
          <w:iCs/>
        </w:rPr>
        <w:t xml:space="preserve">Drög að frumvarpi um </w:t>
      </w:r>
      <w:r w:rsidRPr="00DA1594">
        <w:rPr>
          <w:rFonts w:ascii="Times New Roman" w:hAnsi="Times New Roman" w:cs="Times New Roman"/>
          <w:i/>
          <w:iCs/>
          <w:lang w:val="is-IS"/>
        </w:rPr>
        <w:t>breytingar á lögum um opinber innkaup</w:t>
      </w:r>
      <w:r w:rsidR="00B45D95">
        <w:rPr>
          <w:rFonts w:ascii="Times New Roman" w:hAnsi="Times New Roman" w:cs="Times New Roman"/>
          <w:i/>
          <w:iCs/>
          <w:lang w:val="is-IS"/>
        </w:rPr>
        <w:t xml:space="preserve"> sem birt var í samráðsgátt 11. mars. 2024</w:t>
      </w:r>
      <w:r w:rsidRPr="00DA1594">
        <w:rPr>
          <w:rFonts w:ascii="Times New Roman" w:hAnsi="Times New Roman" w:cs="Times New Roman"/>
          <w:i/>
          <w:iCs/>
          <w:lang w:val="is-IS"/>
        </w:rPr>
        <w:t xml:space="preserve">. </w:t>
      </w:r>
    </w:p>
    <w:p w14:paraId="52B5319B" w14:textId="3E7C4CE2" w:rsidR="007A6A74" w:rsidRPr="00DA1594" w:rsidRDefault="007A6A74" w:rsidP="00DA1594">
      <w:pPr>
        <w:jc w:val="both"/>
        <w:rPr>
          <w:rFonts w:ascii="Times New Roman" w:hAnsi="Times New Roman" w:cs="Times New Roman"/>
          <w:lang w:val="is-IS"/>
        </w:rPr>
      </w:pPr>
      <w:r w:rsidRPr="00DA1594">
        <w:rPr>
          <w:rFonts w:ascii="Times New Roman" w:hAnsi="Times New Roman" w:cs="Times New Roman"/>
          <w:lang w:val="is-IS"/>
        </w:rPr>
        <w:t>Fjórar umsagnir bárust við frumvarpsdrögin</w:t>
      </w:r>
      <w:r w:rsidR="005C1B90">
        <w:rPr>
          <w:rFonts w:ascii="Times New Roman" w:hAnsi="Times New Roman" w:cs="Times New Roman"/>
          <w:lang w:val="is-IS"/>
        </w:rPr>
        <w:t xml:space="preserve"> í samráðsgátt</w:t>
      </w:r>
      <w:r w:rsidRPr="00DA1594">
        <w:rPr>
          <w:rFonts w:ascii="Times New Roman" w:hAnsi="Times New Roman" w:cs="Times New Roman"/>
          <w:lang w:val="is-IS"/>
        </w:rPr>
        <w:t xml:space="preserve">, frá Bandalagi háskólamanna, Reykjavíkurborg, Procure.is og </w:t>
      </w:r>
      <w:proofErr w:type="spellStart"/>
      <w:r w:rsidRPr="00DA1594">
        <w:rPr>
          <w:rFonts w:ascii="Times New Roman" w:hAnsi="Times New Roman" w:cs="Times New Roman"/>
          <w:lang w:val="is-IS"/>
        </w:rPr>
        <w:t>Consensa</w:t>
      </w:r>
      <w:proofErr w:type="spellEnd"/>
      <w:r w:rsidRPr="00DA1594">
        <w:rPr>
          <w:rFonts w:ascii="Times New Roman" w:hAnsi="Times New Roman" w:cs="Times New Roman"/>
          <w:lang w:val="is-IS"/>
        </w:rPr>
        <w:t xml:space="preserve"> ehf. </w:t>
      </w:r>
      <w:r w:rsidR="005C1B90" w:rsidRPr="005C1B90">
        <w:rPr>
          <w:rFonts w:ascii="Times New Roman" w:hAnsi="Times New Roman" w:cs="Times New Roman"/>
          <w:lang w:val="is-IS"/>
        </w:rPr>
        <w:t>Þá barst einnig sameiginleg umsögn frá Samtökum atvinnulífsins, Samtökum iðnaðarins og Samtökum verslunar og þjónustu eftir að umsagnarfrestur var liðinn.</w:t>
      </w:r>
    </w:p>
    <w:p w14:paraId="6CC73A59" w14:textId="3CD467CC" w:rsidR="007A6A74" w:rsidRPr="00DA1594" w:rsidRDefault="007A6A74" w:rsidP="00DA1594">
      <w:pPr>
        <w:jc w:val="both"/>
        <w:rPr>
          <w:rFonts w:ascii="Times New Roman" w:hAnsi="Times New Roman" w:cs="Times New Roman"/>
          <w:lang w:val="is-IS"/>
        </w:rPr>
      </w:pPr>
      <w:r w:rsidRPr="00DA1594">
        <w:rPr>
          <w:rFonts w:ascii="Times New Roman" w:hAnsi="Times New Roman" w:cs="Times New Roman"/>
          <w:lang w:val="is-IS"/>
        </w:rPr>
        <w:t xml:space="preserve">Í umsögn Bandalags háskólamanna </w:t>
      </w:r>
      <w:r w:rsidR="00D26362">
        <w:rPr>
          <w:rFonts w:ascii="Times New Roman" w:hAnsi="Times New Roman" w:cs="Times New Roman"/>
          <w:lang w:val="is-IS"/>
        </w:rPr>
        <w:t>kemur fram</w:t>
      </w:r>
      <w:r w:rsidRPr="00DA1594">
        <w:rPr>
          <w:rFonts w:ascii="Times New Roman" w:hAnsi="Times New Roman" w:cs="Times New Roman"/>
          <w:lang w:val="is-IS"/>
        </w:rPr>
        <w:t xml:space="preserve"> </w:t>
      </w:r>
      <w:r w:rsidR="003378BE">
        <w:rPr>
          <w:rFonts w:ascii="Times New Roman" w:hAnsi="Times New Roman" w:cs="Times New Roman"/>
          <w:lang w:val="is-IS"/>
        </w:rPr>
        <w:t xml:space="preserve">að </w:t>
      </w:r>
      <w:r w:rsidRPr="00DA1594">
        <w:rPr>
          <w:rFonts w:ascii="Times New Roman" w:hAnsi="Times New Roman" w:cs="Times New Roman"/>
          <w:lang w:val="is-IS"/>
        </w:rPr>
        <w:t xml:space="preserve">ekki væri tekin efnisleg afstaða til þeirra breytinga sem væri verið að gera á stofnanaumgjörð samkvæmt lögum um opinber innkaup nema að því leyti sem varðar stöðu starfsfólks hjá Ríkiskaupum. </w:t>
      </w:r>
      <w:r w:rsidR="00342AD5">
        <w:rPr>
          <w:rFonts w:ascii="Times New Roman" w:hAnsi="Times New Roman" w:cs="Times New Roman"/>
          <w:lang w:val="is-IS"/>
        </w:rPr>
        <w:t>Þá kemur fram</w:t>
      </w:r>
      <w:r w:rsidRPr="00DA1594">
        <w:rPr>
          <w:rFonts w:ascii="Times New Roman" w:hAnsi="Times New Roman" w:cs="Times New Roman"/>
          <w:lang w:val="is-IS"/>
        </w:rPr>
        <w:t xml:space="preserve"> að borið hefði á óvissu meðal starfsfólks og spurningar vaknað um stöðu og flutning áunninna réttinda sem og framtíð hjá annarri stofnun sem tæki við verkefnum. Vísað </w:t>
      </w:r>
      <w:r w:rsidR="00DA1594" w:rsidRPr="00DA1594">
        <w:rPr>
          <w:rFonts w:ascii="Times New Roman" w:hAnsi="Times New Roman" w:cs="Times New Roman"/>
          <w:lang w:val="is-IS"/>
        </w:rPr>
        <w:t>er</w:t>
      </w:r>
      <w:r w:rsidRPr="00DA1594">
        <w:rPr>
          <w:rFonts w:ascii="Times New Roman" w:hAnsi="Times New Roman" w:cs="Times New Roman"/>
          <w:lang w:val="is-IS"/>
        </w:rPr>
        <w:t xml:space="preserve"> í því samhengi til þess ferlis sem gildir um aðilaskipti er varðar miðlun upplýsinga og samráði við fulltrúa starfsfólks um þau áhrif sem skipulagsbreytingar geti haft</w:t>
      </w:r>
      <w:r w:rsidR="00DA1594" w:rsidRPr="00DA1594">
        <w:rPr>
          <w:rFonts w:ascii="Times New Roman" w:hAnsi="Times New Roman" w:cs="Times New Roman"/>
          <w:lang w:val="is-IS"/>
        </w:rPr>
        <w:t xml:space="preserve"> og mikilvægi þess að niðurstöður séu kynntar starfsfólki. Að öðru leyti </w:t>
      </w:r>
      <w:r w:rsidR="00D26362">
        <w:rPr>
          <w:rFonts w:ascii="Times New Roman" w:hAnsi="Times New Roman" w:cs="Times New Roman"/>
          <w:lang w:val="is-IS"/>
        </w:rPr>
        <w:t>er</w:t>
      </w:r>
      <w:r w:rsidR="00DA1594" w:rsidRPr="00DA1594">
        <w:rPr>
          <w:rFonts w:ascii="Times New Roman" w:hAnsi="Times New Roman" w:cs="Times New Roman"/>
          <w:lang w:val="is-IS"/>
        </w:rPr>
        <w:t xml:space="preserve"> hvatt til þess að um málefni starfsfólks verði haft náið samráð við FHSS og önnur aðildarfélög BHM, eftir því sem á við. </w:t>
      </w:r>
    </w:p>
    <w:p w14:paraId="7FECAA28" w14:textId="58BFCD67" w:rsidR="007A6A74" w:rsidRDefault="00DA1594" w:rsidP="002C4D12">
      <w:pPr>
        <w:jc w:val="both"/>
        <w:rPr>
          <w:rFonts w:ascii="Times New Roman" w:hAnsi="Times New Roman" w:cs="Times New Roman"/>
          <w:lang w:val="is-IS"/>
        </w:rPr>
      </w:pPr>
      <w:r>
        <w:rPr>
          <w:rFonts w:ascii="Times New Roman" w:hAnsi="Times New Roman" w:cs="Times New Roman"/>
          <w:lang w:val="is-IS"/>
        </w:rPr>
        <w:t xml:space="preserve">Í umsögn Reykjavíkurborgar </w:t>
      </w:r>
      <w:r w:rsidR="00D26362">
        <w:rPr>
          <w:rFonts w:ascii="Times New Roman" w:hAnsi="Times New Roman" w:cs="Times New Roman"/>
          <w:lang w:val="is-IS"/>
        </w:rPr>
        <w:t>eru</w:t>
      </w:r>
      <w:r>
        <w:rPr>
          <w:rFonts w:ascii="Times New Roman" w:hAnsi="Times New Roman" w:cs="Times New Roman"/>
          <w:lang w:val="is-IS"/>
        </w:rPr>
        <w:t xml:space="preserve"> gerðar athugasemdir við að ekki hefi verið að fullu tekið tillit til </w:t>
      </w:r>
      <w:r w:rsidR="003378BE">
        <w:rPr>
          <w:rFonts w:ascii="Times New Roman" w:hAnsi="Times New Roman" w:cs="Times New Roman"/>
          <w:lang w:val="is-IS"/>
        </w:rPr>
        <w:t>ábendinga</w:t>
      </w:r>
      <w:r>
        <w:rPr>
          <w:rFonts w:ascii="Times New Roman" w:hAnsi="Times New Roman" w:cs="Times New Roman"/>
          <w:lang w:val="is-IS"/>
        </w:rPr>
        <w:t xml:space="preserve"> sem komu fram í umsögn um áform á fyrri stigum og þess skamma tíma sem veittur var til að veita umsögn við frumvarpsdrögin. Áréttaðar voru sérstaklega tillögur í fyrri umsögn um að sveitarfélögum sé veittur frestur til að </w:t>
      </w:r>
      <w:r w:rsidRPr="00DA1594">
        <w:rPr>
          <w:rFonts w:ascii="Times New Roman" w:hAnsi="Times New Roman" w:cs="Times New Roman"/>
          <w:lang w:val="is-IS"/>
        </w:rPr>
        <w:t>semja um tilboðsfresti í gagnvirkum innkaupakerfum sem og að mælt verði fyrir um</w:t>
      </w:r>
      <w:r>
        <w:rPr>
          <w:rFonts w:ascii="Times New Roman" w:hAnsi="Times New Roman" w:cs="Times New Roman"/>
          <w:lang w:val="is-IS"/>
        </w:rPr>
        <w:t xml:space="preserve"> </w:t>
      </w:r>
      <w:r w:rsidRPr="00DA1594">
        <w:rPr>
          <w:rFonts w:ascii="Times New Roman" w:hAnsi="Times New Roman" w:cs="Times New Roman"/>
          <w:lang w:val="is-IS"/>
        </w:rPr>
        <w:t xml:space="preserve">málskostnað til handa opinberum aðilum fyrir </w:t>
      </w:r>
      <w:proofErr w:type="spellStart"/>
      <w:r w:rsidRPr="00DA1594">
        <w:rPr>
          <w:rFonts w:ascii="Times New Roman" w:hAnsi="Times New Roman" w:cs="Times New Roman"/>
          <w:lang w:val="is-IS"/>
        </w:rPr>
        <w:t>kærunefnd</w:t>
      </w:r>
      <w:proofErr w:type="spellEnd"/>
      <w:r w:rsidRPr="00DA1594">
        <w:rPr>
          <w:rFonts w:ascii="Times New Roman" w:hAnsi="Times New Roman" w:cs="Times New Roman"/>
          <w:lang w:val="is-IS"/>
        </w:rPr>
        <w:t xml:space="preserve"> </w:t>
      </w:r>
      <w:proofErr w:type="spellStart"/>
      <w:r w:rsidRPr="00DA1594">
        <w:rPr>
          <w:rFonts w:ascii="Times New Roman" w:hAnsi="Times New Roman" w:cs="Times New Roman"/>
          <w:lang w:val="is-IS"/>
        </w:rPr>
        <w:t>útboðsmála</w:t>
      </w:r>
      <w:proofErr w:type="spellEnd"/>
      <w:r w:rsidRPr="00DA1594">
        <w:rPr>
          <w:rFonts w:ascii="Times New Roman" w:hAnsi="Times New Roman" w:cs="Times New Roman"/>
          <w:lang w:val="is-IS"/>
        </w:rPr>
        <w:t>.</w:t>
      </w:r>
      <w:r>
        <w:rPr>
          <w:rFonts w:ascii="Times New Roman" w:hAnsi="Times New Roman" w:cs="Times New Roman"/>
          <w:lang w:val="is-IS"/>
        </w:rPr>
        <w:t xml:space="preserve"> </w:t>
      </w:r>
      <w:r w:rsidR="00D26362">
        <w:rPr>
          <w:rFonts w:ascii="Times New Roman" w:hAnsi="Times New Roman" w:cs="Times New Roman"/>
          <w:lang w:val="is-IS"/>
        </w:rPr>
        <w:t xml:space="preserve">Þá eru einnig settar fram athugasemdir við einstök ákvæði frumvarpsins í umsögninni. </w:t>
      </w:r>
      <w:r w:rsidR="00076FFE">
        <w:rPr>
          <w:rFonts w:ascii="Times New Roman" w:hAnsi="Times New Roman" w:cs="Times New Roman"/>
          <w:lang w:val="is-IS"/>
        </w:rPr>
        <w:t>Við 1. gr. frumvarpsins</w:t>
      </w:r>
      <w:r w:rsidR="00D26362">
        <w:rPr>
          <w:rFonts w:ascii="Times New Roman" w:hAnsi="Times New Roman" w:cs="Times New Roman"/>
          <w:lang w:val="is-IS"/>
        </w:rPr>
        <w:t xml:space="preserve"> er talin þörf á á skýra betur</w:t>
      </w:r>
      <w:r w:rsidR="00076FFE">
        <w:rPr>
          <w:rFonts w:ascii="Times New Roman" w:hAnsi="Times New Roman" w:cs="Times New Roman"/>
          <w:lang w:val="is-IS"/>
        </w:rPr>
        <w:t xml:space="preserve"> hvaða eða hvers konar aðilar </w:t>
      </w:r>
      <w:r w:rsidR="00D26362">
        <w:rPr>
          <w:rFonts w:ascii="Times New Roman" w:hAnsi="Times New Roman" w:cs="Times New Roman"/>
          <w:lang w:val="is-IS"/>
        </w:rPr>
        <w:t xml:space="preserve">geta sinnt </w:t>
      </w:r>
      <w:r w:rsidR="00076FFE">
        <w:rPr>
          <w:rFonts w:ascii="Times New Roman" w:hAnsi="Times New Roman" w:cs="Times New Roman"/>
          <w:lang w:val="is-IS"/>
        </w:rPr>
        <w:t>hlutverk</w:t>
      </w:r>
      <w:r w:rsidR="00D26362">
        <w:rPr>
          <w:rFonts w:ascii="Times New Roman" w:hAnsi="Times New Roman" w:cs="Times New Roman"/>
          <w:lang w:val="is-IS"/>
        </w:rPr>
        <w:t>i</w:t>
      </w:r>
      <w:r w:rsidR="00076FFE">
        <w:rPr>
          <w:rFonts w:ascii="Times New Roman" w:hAnsi="Times New Roman" w:cs="Times New Roman"/>
          <w:lang w:val="is-IS"/>
        </w:rPr>
        <w:t xml:space="preserve"> miðlægrar innkaupastofnunar en að mati borgarinnar </w:t>
      </w:r>
      <w:r w:rsidR="00D26362">
        <w:rPr>
          <w:rFonts w:ascii="Times New Roman" w:hAnsi="Times New Roman" w:cs="Times New Roman"/>
          <w:lang w:val="is-IS"/>
        </w:rPr>
        <w:t>er mikilvægt að það komi fram að það eigi ekki</w:t>
      </w:r>
      <w:r w:rsidR="00076FFE">
        <w:rPr>
          <w:rFonts w:ascii="Times New Roman" w:hAnsi="Times New Roman" w:cs="Times New Roman"/>
          <w:lang w:val="is-IS"/>
        </w:rPr>
        <w:t xml:space="preserve"> Innkaupaskrifstofu Reykjavíkurborgar, sbr. </w:t>
      </w:r>
      <w:r w:rsidR="00076FFE" w:rsidRPr="00076FFE">
        <w:rPr>
          <w:rFonts w:ascii="Times New Roman" w:hAnsi="Times New Roman" w:cs="Times New Roman"/>
          <w:lang w:val="is-IS"/>
        </w:rPr>
        <w:t xml:space="preserve">ákvörðun kærunefndar </w:t>
      </w:r>
      <w:proofErr w:type="spellStart"/>
      <w:r w:rsidR="00076FFE" w:rsidRPr="00076FFE">
        <w:rPr>
          <w:rFonts w:ascii="Times New Roman" w:hAnsi="Times New Roman" w:cs="Times New Roman"/>
          <w:lang w:val="is-IS"/>
        </w:rPr>
        <w:t>útboðsmála</w:t>
      </w:r>
      <w:proofErr w:type="spellEnd"/>
      <w:r w:rsidR="00076FFE" w:rsidRPr="00076FFE">
        <w:rPr>
          <w:rFonts w:ascii="Times New Roman" w:hAnsi="Times New Roman" w:cs="Times New Roman"/>
          <w:lang w:val="is-IS"/>
        </w:rPr>
        <w:t xml:space="preserve"> frá 5. september 2023 í máli nr. 34/2023</w:t>
      </w:r>
      <w:r w:rsidR="00076FFE">
        <w:rPr>
          <w:rFonts w:ascii="Times New Roman" w:hAnsi="Times New Roman" w:cs="Times New Roman"/>
          <w:lang w:val="is-IS"/>
        </w:rPr>
        <w:t>. Við 5. gr. frumvarpsins eru gerðar athugasemdir við að innlend viðmiðunarfjárhæð vegna verkframkvæmda sé ekki endurskoðuð samhliða því að innlendar viðmiðunarfjárhæðir vegna vöru- og þjónustusamninga séu felldar brott úr lögum um opinber innkaup. Við 8. gr. frumvarpsins er gerð athugasemd</w:t>
      </w:r>
      <w:r w:rsidR="002C4D12">
        <w:rPr>
          <w:rFonts w:ascii="Times New Roman" w:hAnsi="Times New Roman" w:cs="Times New Roman"/>
          <w:lang w:val="is-IS"/>
        </w:rPr>
        <w:t xml:space="preserve"> varðandi þegar opnun tilboða er frestað og þann fjölda daga sem þarf til áður en slíkt er gert. Fram kemur í umsögninni að ekki sé fullt samræmi við áskilnað sem kemur fram í 3. mgr. 47. gr. útboðstilskipunarinnar. Við 15. gr. kemur fram að færa þarf sönnunarbyrði um </w:t>
      </w:r>
      <w:proofErr w:type="spellStart"/>
      <w:r w:rsidR="002C4D12">
        <w:rPr>
          <w:rFonts w:ascii="Times New Roman" w:hAnsi="Times New Roman" w:cs="Times New Roman"/>
          <w:lang w:val="is-IS"/>
        </w:rPr>
        <w:t>vanefnd</w:t>
      </w:r>
      <w:r w:rsidR="00D26362">
        <w:rPr>
          <w:rFonts w:ascii="Times New Roman" w:hAnsi="Times New Roman" w:cs="Times New Roman"/>
          <w:lang w:val="is-IS"/>
        </w:rPr>
        <w:t>ir</w:t>
      </w:r>
      <w:proofErr w:type="spellEnd"/>
      <w:r w:rsidR="002C4D12">
        <w:rPr>
          <w:rFonts w:ascii="Times New Roman" w:hAnsi="Times New Roman" w:cs="Times New Roman"/>
          <w:lang w:val="is-IS"/>
        </w:rPr>
        <w:t xml:space="preserve"> vegna keðjuábyrgðar </w:t>
      </w:r>
      <w:r w:rsidR="002C4D12" w:rsidRPr="002C4D12">
        <w:rPr>
          <w:rFonts w:ascii="Times New Roman" w:hAnsi="Times New Roman" w:cs="Times New Roman"/>
          <w:lang w:val="is-IS"/>
        </w:rPr>
        <w:t>yfir á aðalverktaka</w:t>
      </w:r>
      <w:r w:rsidR="002C4D12">
        <w:rPr>
          <w:rFonts w:ascii="Times New Roman" w:hAnsi="Times New Roman" w:cs="Times New Roman"/>
          <w:lang w:val="is-IS"/>
        </w:rPr>
        <w:t xml:space="preserve"> og að </w:t>
      </w:r>
      <w:r w:rsidR="002C4D12" w:rsidRPr="002C4D12">
        <w:rPr>
          <w:rFonts w:ascii="Times New Roman" w:hAnsi="Times New Roman" w:cs="Times New Roman"/>
          <w:lang w:val="is-IS"/>
        </w:rPr>
        <w:t>lágmarki þ</w:t>
      </w:r>
      <w:r w:rsidR="002C4D12">
        <w:rPr>
          <w:rFonts w:ascii="Times New Roman" w:hAnsi="Times New Roman" w:cs="Times New Roman"/>
          <w:lang w:val="is-IS"/>
        </w:rPr>
        <w:t>urfi</w:t>
      </w:r>
      <w:r w:rsidR="002C4D12" w:rsidRPr="002C4D12">
        <w:rPr>
          <w:rFonts w:ascii="Times New Roman" w:hAnsi="Times New Roman" w:cs="Times New Roman"/>
          <w:lang w:val="is-IS"/>
        </w:rPr>
        <w:t xml:space="preserve"> að mæla fyrir</w:t>
      </w:r>
      <w:r w:rsidR="002C4D12">
        <w:rPr>
          <w:rFonts w:ascii="Times New Roman" w:hAnsi="Times New Roman" w:cs="Times New Roman"/>
          <w:lang w:val="is-IS"/>
        </w:rPr>
        <w:t xml:space="preserve"> </w:t>
      </w:r>
      <w:r w:rsidR="002C4D12" w:rsidRPr="002C4D12">
        <w:rPr>
          <w:rFonts w:ascii="Times New Roman" w:hAnsi="Times New Roman" w:cs="Times New Roman"/>
          <w:lang w:val="is-IS"/>
        </w:rPr>
        <w:t>um heimild til handa kaupanda að óska eftir launaseðlum, tímaskýrslum, og yfirliti yfir</w:t>
      </w:r>
      <w:r w:rsidR="002C4D12">
        <w:rPr>
          <w:rFonts w:ascii="Times New Roman" w:hAnsi="Times New Roman" w:cs="Times New Roman"/>
          <w:lang w:val="is-IS"/>
        </w:rPr>
        <w:t xml:space="preserve"> </w:t>
      </w:r>
      <w:r w:rsidR="002C4D12" w:rsidRPr="002C4D12">
        <w:rPr>
          <w:rFonts w:ascii="Times New Roman" w:hAnsi="Times New Roman" w:cs="Times New Roman"/>
          <w:lang w:val="is-IS"/>
        </w:rPr>
        <w:t xml:space="preserve">gildandi sjúkra- og slysatryggingar </w:t>
      </w:r>
      <w:r w:rsidR="00D26362">
        <w:rPr>
          <w:rFonts w:ascii="Times New Roman" w:hAnsi="Times New Roman" w:cs="Times New Roman"/>
          <w:lang w:val="is-IS"/>
        </w:rPr>
        <w:t>eigi kaupandi að geta nýtt heimild til að greiða greiðslur beint til undirverktaka á kostnað aðalverktaka</w:t>
      </w:r>
      <w:r w:rsidR="002C4D12" w:rsidRPr="002C4D12">
        <w:rPr>
          <w:rFonts w:ascii="Times New Roman" w:hAnsi="Times New Roman" w:cs="Times New Roman"/>
          <w:lang w:val="is-IS"/>
        </w:rPr>
        <w:t>.</w:t>
      </w:r>
      <w:r w:rsidR="002C4D12">
        <w:rPr>
          <w:rFonts w:ascii="Times New Roman" w:hAnsi="Times New Roman" w:cs="Times New Roman"/>
          <w:lang w:val="is-IS"/>
        </w:rPr>
        <w:t xml:space="preserve"> Þá er gerð athugasemd við 20. gr. frumvarpsins er varðar hækkunar kærugjalds fyrir </w:t>
      </w:r>
      <w:proofErr w:type="spellStart"/>
      <w:r w:rsidR="002C4D12">
        <w:rPr>
          <w:rFonts w:ascii="Times New Roman" w:hAnsi="Times New Roman" w:cs="Times New Roman"/>
          <w:lang w:val="is-IS"/>
        </w:rPr>
        <w:t>kærunefnd</w:t>
      </w:r>
      <w:proofErr w:type="spellEnd"/>
      <w:r w:rsidR="002C4D12">
        <w:rPr>
          <w:rFonts w:ascii="Times New Roman" w:hAnsi="Times New Roman" w:cs="Times New Roman"/>
          <w:lang w:val="is-IS"/>
        </w:rPr>
        <w:t xml:space="preserve"> </w:t>
      </w:r>
      <w:proofErr w:type="spellStart"/>
      <w:r w:rsidR="002C4D12">
        <w:rPr>
          <w:rFonts w:ascii="Times New Roman" w:hAnsi="Times New Roman" w:cs="Times New Roman"/>
          <w:lang w:val="is-IS"/>
        </w:rPr>
        <w:t>útboðsmála</w:t>
      </w:r>
      <w:proofErr w:type="spellEnd"/>
      <w:r w:rsidR="002C4D12">
        <w:rPr>
          <w:rFonts w:ascii="Times New Roman" w:hAnsi="Times New Roman" w:cs="Times New Roman"/>
          <w:lang w:val="is-IS"/>
        </w:rPr>
        <w:t xml:space="preserve"> en lagt er til að gjaldið verði hækkað umfram verðlagsbreytingar og fært nær því gjaldi sem greitt er fyrir sambærilegri </w:t>
      </w:r>
      <w:proofErr w:type="spellStart"/>
      <w:r w:rsidR="002C4D12">
        <w:rPr>
          <w:rFonts w:ascii="Times New Roman" w:hAnsi="Times New Roman" w:cs="Times New Roman"/>
          <w:lang w:val="is-IS"/>
        </w:rPr>
        <w:t>kærunefnd</w:t>
      </w:r>
      <w:proofErr w:type="spellEnd"/>
      <w:r w:rsidR="002C4D12">
        <w:rPr>
          <w:rFonts w:ascii="Times New Roman" w:hAnsi="Times New Roman" w:cs="Times New Roman"/>
          <w:lang w:val="is-IS"/>
        </w:rPr>
        <w:t xml:space="preserve"> í Danmörku. </w:t>
      </w:r>
      <w:r w:rsidR="00FE54DD">
        <w:rPr>
          <w:rFonts w:ascii="Times New Roman" w:hAnsi="Times New Roman" w:cs="Times New Roman"/>
          <w:lang w:val="is-IS"/>
        </w:rPr>
        <w:t>Þá er að lokum gerðar athugasemdir við 23. gr. frumvarpsins er varðar reglugerðarheimild um hvernig beri að reikna</w:t>
      </w:r>
      <w:r w:rsidR="00FE54DD" w:rsidRPr="00FE54DD">
        <w:rPr>
          <w:rFonts w:ascii="Times New Roman" w:hAnsi="Times New Roman" w:cs="Times New Roman"/>
          <w:lang w:val="is-IS"/>
        </w:rPr>
        <w:t xml:space="preserve"> tímabil, dagsetningar og fresti á grundvelli laga</w:t>
      </w:r>
      <w:r w:rsidR="00FE54DD">
        <w:rPr>
          <w:rFonts w:ascii="Times New Roman" w:hAnsi="Times New Roman" w:cs="Times New Roman"/>
          <w:lang w:val="is-IS"/>
        </w:rPr>
        <w:t xml:space="preserve"> um opinber innkaup en lagt er til að verði fjallað um það með beinum hætti í ákvæðum laganna. </w:t>
      </w:r>
    </w:p>
    <w:p w14:paraId="5024827D" w14:textId="3B9EDE38" w:rsidR="00FE54DD" w:rsidRDefault="00FE54DD" w:rsidP="00FE54DD">
      <w:pPr>
        <w:jc w:val="both"/>
        <w:rPr>
          <w:rFonts w:ascii="Times New Roman" w:hAnsi="Times New Roman" w:cs="Times New Roman"/>
          <w:lang w:val="is-IS"/>
        </w:rPr>
      </w:pPr>
      <w:r>
        <w:rPr>
          <w:rFonts w:ascii="Times New Roman" w:hAnsi="Times New Roman" w:cs="Times New Roman"/>
          <w:lang w:val="is-IS"/>
        </w:rPr>
        <w:t>Í umsögn Procure.is kemur fram</w:t>
      </w:r>
      <w:r w:rsidR="00234DE5">
        <w:rPr>
          <w:rFonts w:ascii="Times New Roman" w:hAnsi="Times New Roman" w:cs="Times New Roman"/>
          <w:lang w:val="is-IS"/>
        </w:rPr>
        <w:t xml:space="preserve"> </w:t>
      </w:r>
      <w:r>
        <w:rPr>
          <w:rFonts w:ascii="Times New Roman" w:hAnsi="Times New Roman" w:cs="Times New Roman"/>
          <w:lang w:val="is-IS"/>
        </w:rPr>
        <w:t xml:space="preserve">að kaupendur viðhaldi of mikilli fjarlægð frá mögulegum </w:t>
      </w:r>
      <w:proofErr w:type="spellStart"/>
      <w:r>
        <w:rPr>
          <w:rFonts w:ascii="Times New Roman" w:hAnsi="Times New Roman" w:cs="Times New Roman"/>
          <w:lang w:val="is-IS"/>
        </w:rPr>
        <w:t>bjóðendum</w:t>
      </w:r>
      <w:proofErr w:type="spellEnd"/>
      <w:r>
        <w:rPr>
          <w:rFonts w:ascii="Times New Roman" w:hAnsi="Times New Roman" w:cs="Times New Roman"/>
          <w:lang w:val="is-IS"/>
        </w:rPr>
        <w:t xml:space="preserve"> einkum þegar kemur að því að móta útboðskröfur. </w:t>
      </w:r>
      <w:r w:rsidR="00234DE5">
        <w:rPr>
          <w:rFonts w:ascii="Times New Roman" w:hAnsi="Times New Roman" w:cs="Times New Roman"/>
          <w:lang w:val="is-IS"/>
        </w:rPr>
        <w:t xml:space="preserve">Þörf sé </w:t>
      </w:r>
      <w:r w:rsidR="00D26362">
        <w:rPr>
          <w:rFonts w:ascii="Times New Roman" w:hAnsi="Times New Roman" w:cs="Times New Roman"/>
          <w:lang w:val="is-IS"/>
        </w:rPr>
        <w:t xml:space="preserve">á </w:t>
      </w:r>
      <w:r w:rsidR="00234DE5">
        <w:rPr>
          <w:rFonts w:ascii="Times New Roman" w:hAnsi="Times New Roman" w:cs="Times New Roman"/>
          <w:lang w:val="is-IS"/>
        </w:rPr>
        <w:t xml:space="preserve">að auka </w:t>
      </w:r>
      <w:r w:rsidRPr="00FE54DD">
        <w:rPr>
          <w:rFonts w:ascii="Times New Roman" w:hAnsi="Times New Roman" w:cs="Times New Roman"/>
          <w:lang w:val="is-IS"/>
        </w:rPr>
        <w:t xml:space="preserve">aðgengi opinberra aðila að viðeigandi sérþekkingu </w:t>
      </w:r>
      <w:r w:rsidR="00234DE5">
        <w:rPr>
          <w:rFonts w:ascii="Times New Roman" w:hAnsi="Times New Roman" w:cs="Times New Roman"/>
          <w:lang w:val="is-IS"/>
        </w:rPr>
        <w:t xml:space="preserve">hjá aðilum sem starfa á almennum markaði og veita innkaupaþjónustu. Með því er yrði samkeppni aukin á sviði opinberra innkaupa sem myndi </w:t>
      </w:r>
      <w:r w:rsidRPr="00FE54DD">
        <w:rPr>
          <w:rFonts w:ascii="Times New Roman" w:hAnsi="Times New Roman" w:cs="Times New Roman"/>
          <w:lang w:val="is-IS"/>
        </w:rPr>
        <w:t>stuðla að hraðri þekkingaruppbyggingu, auka nálægð við aðila á markaði og yrði til þess að opinberir aðilar réðu betur við tímabundið verkefnaálag.</w:t>
      </w:r>
      <w:r w:rsidR="00234DE5">
        <w:rPr>
          <w:rFonts w:ascii="Times New Roman" w:hAnsi="Times New Roman" w:cs="Times New Roman"/>
          <w:lang w:val="is-IS"/>
        </w:rPr>
        <w:t xml:space="preserve"> Þá er einnig lagt til að breyting sé gerð á kærugjald</w:t>
      </w:r>
      <w:r w:rsidR="00D26362">
        <w:rPr>
          <w:rFonts w:ascii="Times New Roman" w:hAnsi="Times New Roman" w:cs="Times New Roman"/>
          <w:lang w:val="is-IS"/>
        </w:rPr>
        <w:t>i</w:t>
      </w:r>
      <w:r w:rsidR="00234DE5">
        <w:rPr>
          <w:rFonts w:ascii="Times New Roman" w:hAnsi="Times New Roman" w:cs="Times New Roman"/>
          <w:lang w:val="is-IS"/>
        </w:rPr>
        <w:t xml:space="preserve"> til kærunefndar </w:t>
      </w:r>
      <w:proofErr w:type="spellStart"/>
      <w:r w:rsidR="00234DE5">
        <w:rPr>
          <w:rFonts w:ascii="Times New Roman" w:hAnsi="Times New Roman" w:cs="Times New Roman"/>
          <w:lang w:val="is-IS"/>
        </w:rPr>
        <w:t>útboðsmála</w:t>
      </w:r>
      <w:proofErr w:type="spellEnd"/>
      <w:r w:rsidR="00234DE5">
        <w:rPr>
          <w:rFonts w:ascii="Times New Roman" w:hAnsi="Times New Roman" w:cs="Times New Roman"/>
          <w:lang w:val="is-IS"/>
        </w:rPr>
        <w:t xml:space="preserve"> en lagt er til að gjaldið hækki og taki </w:t>
      </w:r>
      <w:r w:rsidR="00D26362">
        <w:rPr>
          <w:rFonts w:ascii="Times New Roman" w:hAnsi="Times New Roman" w:cs="Times New Roman"/>
          <w:lang w:val="is-IS"/>
        </w:rPr>
        <w:t xml:space="preserve">m.a. </w:t>
      </w:r>
      <w:r w:rsidR="00234DE5">
        <w:rPr>
          <w:rFonts w:ascii="Times New Roman" w:hAnsi="Times New Roman" w:cs="Times New Roman"/>
          <w:lang w:val="is-IS"/>
        </w:rPr>
        <w:t xml:space="preserve">mið af kostnaði þeirrar samningsgerðar sem kærð er hverju sinni. </w:t>
      </w:r>
    </w:p>
    <w:p w14:paraId="0534C84B" w14:textId="7859EFBA" w:rsidR="00C85FAD" w:rsidRDefault="00234DE5" w:rsidP="00FE54DD">
      <w:pPr>
        <w:jc w:val="both"/>
        <w:rPr>
          <w:rFonts w:ascii="Times New Roman" w:hAnsi="Times New Roman" w:cs="Times New Roman"/>
          <w:lang w:val="is-IS"/>
        </w:rPr>
      </w:pPr>
      <w:r>
        <w:rPr>
          <w:rFonts w:ascii="Times New Roman" w:hAnsi="Times New Roman" w:cs="Times New Roman"/>
          <w:lang w:val="is-IS"/>
        </w:rPr>
        <w:t xml:space="preserve">Í umsögn </w:t>
      </w:r>
      <w:proofErr w:type="spellStart"/>
      <w:r>
        <w:rPr>
          <w:rFonts w:ascii="Times New Roman" w:hAnsi="Times New Roman" w:cs="Times New Roman"/>
          <w:lang w:val="is-IS"/>
        </w:rPr>
        <w:t>Consensa</w:t>
      </w:r>
      <w:proofErr w:type="spellEnd"/>
      <w:r>
        <w:rPr>
          <w:rFonts w:ascii="Times New Roman" w:hAnsi="Times New Roman" w:cs="Times New Roman"/>
          <w:lang w:val="is-IS"/>
        </w:rPr>
        <w:t xml:space="preserve"> </w:t>
      </w:r>
      <w:r w:rsidR="00D26362">
        <w:rPr>
          <w:rFonts w:ascii="Times New Roman" w:hAnsi="Times New Roman" w:cs="Times New Roman"/>
          <w:lang w:val="is-IS"/>
        </w:rPr>
        <w:t xml:space="preserve">eru </w:t>
      </w:r>
      <w:r w:rsidR="00C85FAD">
        <w:rPr>
          <w:rFonts w:ascii="Times New Roman" w:hAnsi="Times New Roman" w:cs="Times New Roman"/>
          <w:lang w:val="is-IS"/>
        </w:rPr>
        <w:t xml:space="preserve">gerðar athugasemdir við hlutverk miðlægrar innkaupastofnunar og þá innkaupaþjónustu sem slíkum aðila er ætlað að. </w:t>
      </w:r>
      <w:r w:rsidR="005074F6">
        <w:rPr>
          <w:rFonts w:ascii="Times New Roman" w:hAnsi="Times New Roman" w:cs="Times New Roman"/>
          <w:lang w:val="is-IS"/>
        </w:rPr>
        <w:t xml:space="preserve">Bent </w:t>
      </w:r>
      <w:r w:rsidR="00B43988">
        <w:rPr>
          <w:rFonts w:ascii="Times New Roman" w:hAnsi="Times New Roman" w:cs="Times New Roman"/>
          <w:lang w:val="is-IS"/>
        </w:rPr>
        <w:t>var</w:t>
      </w:r>
      <w:r w:rsidR="005074F6">
        <w:rPr>
          <w:rFonts w:ascii="Times New Roman" w:hAnsi="Times New Roman" w:cs="Times New Roman"/>
          <w:lang w:val="is-IS"/>
        </w:rPr>
        <w:t xml:space="preserve"> á að samkvæmt tilskipuninni sem lögunum er </w:t>
      </w:r>
      <w:r w:rsidR="005074F6">
        <w:rPr>
          <w:rFonts w:ascii="Times New Roman" w:hAnsi="Times New Roman" w:cs="Times New Roman"/>
          <w:lang w:val="is-IS"/>
        </w:rPr>
        <w:lastRenderedPageBreak/>
        <w:t xml:space="preserve">ætlað að innleiða felist ekki skylda til að reka miðlæga innkaupastofnun heldur sé það einungis heimilt og að fyrirkomulag innkaupamála hér á landi sé ekki </w:t>
      </w:r>
      <w:r w:rsidR="00D26362">
        <w:rPr>
          <w:rFonts w:ascii="Times New Roman" w:hAnsi="Times New Roman" w:cs="Times New Roman"/>
          <w:lang w:val="is-IS"/>
        </w:rPr>
        <w:t xml:space="preserve">að fullu </w:t>
      </w:r>
      <w:r w:rsidR="005074F6">
        <w:rPr>
          <w:rFonts w:ascii="Times New Roman" w:hAnsi="Times New Roman" w:cs="Times New Roman"/>
          <w:lang w:val="is-IS"/>
        </w:rPr>
        <w:t xml:space="preserve">í samræmi við </w:t>
      </w:r>
      <w:r w:rsidR="00D26362">
        <w:rPr>
          <w:rFonts w:ascii="Times New Roman" w:hAnsi="Times New Roman" w:cs="Times New Roman"/>
          <w:lang w:val="is-IS"/>
        </w:rPr>
        <w:t xml:space="preserve">það sem þekkist í </w:t>
      </w:r>
      <w:r w:rsidR="005074F6">
        <w:rPr>
          <w:rFonts w:ascii="Times New Roman" w:hAnsi="Times New Roman" w:cs="Times New Roman"/>
          <w:lang w:val="is-IS"/>
        </w:rPr>
        <w:t>nágrannalönd</w:t>
      </w:r>
      <w:r w:rsidR="00D26362">
        <w:rPr>
          <w:rFonts w:ascii="Times New Roman" w:hAnsi="Times New Roman" w:cs="Times New Roman"/>
          <w:lang w:val="is-IS"/>
        </w:rPr>
        <w:t>um</w:t>
      </w:r>
      <w:r w:rsidR="005074F6">
        <w:rPr>
          <w:rFonts w:ascii="Times New Roman" w:hAnsi="Times New Roman" w:cs="Times New Roman"/>
          <w:lang w:val="is-IS"/>
        </w:rPr>
        <w:t xml:space="preserve"> Íslands. </w:t>
      </w:r>
      <w:r w:rsidR="00C85FAD">
        <w:rPr>
          <w:rFonts w:ascii="Times New Roman" w:hAnsi="Times New Roman" w:cs="Times New Roman"/>
          <w:lang w:val="is-IS"/>
        </w:rPr>
        <w:t xml:space="preserve">Gerð </w:t>
      </w:r>
      <w:r w:rsidR="00D26362">
        <w:rPr>
          <w:rFonts w:ascii="Times New Roman" w:hAnsi="Times New Roman" w:cs="Times New Roman"/>
          <w:lang w:val="is-IS"/>
        </w:rPr>
        <w:t>er</w:t>
      </w:r>
      <w:r w:rsidR="00C85FAD">
        <w:rPr>
          <w:rFonts w:ascii="Times New Roman" w:hAnsi="Times New Roman" w:cs="Times New Roman"/>
          <w:lang w:val="is-IS"/>
        </w:rPr>
        <w:t xml:space="preserve"> athugasemd við að breytingin á stofnanaumgjörðinni eins og hún birtist í frumvarpinu feli ekki í sér að dregið sé úr </w:t>
      </w:r>
      <w:proofErr w:type="spellStart"/>
      <w:r w:rsidR="00C85FAD">
        <w:rPr>
          <w:rFonts w:ascii="Times New Roman" w:hAnsi="Times New Roman" w:cs="Times New Roman"/>
          <w:lang w:val="is-IS"/>
        </w:rPr>
        <w:t>gullhúðun</w:t>
      </w:r>
      <w:proofErr w:type="spellEnd"/>
      <w:r w:rsidR="00C85FAD">
        <w:rPr>
          <w:rFonts w:ascii="Times New Roman" w:hAnsi="Times New Roman" w:cs="Times New Roman"/>
          <w:lang w:val="is-IS"/>
        </w:rPr>
        <w:t xml:space="preserve"> sem sé eitt af markmiðum frumvarpsins. </w:t>
      </w:r>
      <w:r w:rsidR="00857FF2">
        <w:rPr>
          <w:rFonts w:ascii="Times New Roman" w:hAnsi="Times New Roman" w:cs="Times New Roman"/>
          <w:lang w:val="is-IS"/>
        </w:rPr>
        <w:t xml:space="preserve">Þá </w:t>
      </w:r>
      <w:r w:rsidR="00B43988">
        <w:rPr>
          <w:rFonts w:ascii="Times New Roman" w:hAnsi="Times New Roman" w:cs="Times New Roman"/>
          <w:lang w:val="is-IS"/>
        </w:rPr>
        <w:t>voru</w:t>
      </w:r>
      <w:r w:rsidR="00857FF2">
        <w:rPr>
          <w:rFonts w:ascii="Times New Roman" w:hAnsi="Times New Roman" w:cs="Times New Roman"/>
          <w:lang w:val="is-IS"/>
        </w:rPr>
        <w:t xml:space="preserve"> settar fram ýmsar athugasemdir eða staðhæfingar sem varða starfsemi Ríkiskaupa og framkvæmd innkaupa </w:t>
      </w:r>
      <w:r w:rsidR="005074F6">
        <w:rPr>
          <w:rFonts w:ascii="Times New Roman" w:hAnsi="Times New Roman" w:cs="Times New Roman"/>
          <w:lang w:val="is-IS"/>
        </w:rPr>
        <w:t>hér á landi.</w:t>
      </w:r>
      <w:r w:rsidR="00857FF2">
        <w:rPr>
          <w:rFonts w:ascii="Times New Roman" w:hAnsi="Times New Roman" w:cs="Times New Roman"/>
          <w:lang w:val="is-IS"/>
        </w:rPr>
        <w:t xml:space="preserve"> </w:t>
      </w:r>
    </w:p>
    <w:p w14:paraId="3C364C3B" w14:textId="785C0973" w:rsidR="005C1B90" w:rsidRDefault="005C1B90" w:rsidP="003378BE">
      <w:pPr>
        <w:jc w:val="both"/>
        <w:rPr>
          <w:rFonts w:ascii="Times New Roman" w:hAnsi="Times New Roman" w:cs="Times New Roman"/>
          <w:lang w:val="is-IS"/>
        </w:rPr>
      </w:pPr>
      <w:r>
        <w:rPr>
          <w:rFonts w:ascii="Times New Roman" w:hAnsi="Times New Roman" w:cs="Times New Roman"/>
          <w:lang w:val="is-IS"/>
        </w:rPr>
        <w:t xml:space="preserve">Í </w:t>
      </w:r>
      <w:r w:rsidR="00CB0E2D">
        <w:rPr>
          <w:rFonts w:ascii="Times New Roman" w:hAnsi="Times New Roman" w:cs="Times New Roman"/>
          <w:lang w:val="is-IS"/>
        </w:rPr>
        <w:t xml:space="preserve">sameiginlegri </w:t>
      </w:r>
      <w:r>
        <w:rPr>
          <w:rFonts w:ascii="Times New Roman" w:hAnsi="Times New Roman" w:cs="Times New Roman"/>
          <w:lang w:val="is-IS"/>
        </w:rPr>
        <w:t>umsögn SA, SI og SVÞ</w:t>
      </w:r>
      <w:r w:rsidR="00B43988">
        <w:rPr>
          <w:rFonts w:ascii="Times New Roman" w:hAnsi="Times New Roman" w:cs="Times New Roman"/>
          <w:lang w:val="is-IS"/>
        </w:rPr>
        <w:t xml:space="preserve"> </w:t>
      </w:r>
      <w:r w:rsidR="00D26362">
        <w:rPr>
          <w:rFonts w:ascii="Times New Roman" w:hAnsi="Times New Roman" w:cs="Times New Roman"/>
          <w:lang w:val="is-IS"/>
        </w:rPr>
        <w:t>er gerð</w:t>
      </w:r>
      <w:r w:rsidR="00B43988">
        <w:rPr>
          <w:rFonts w:ascii="Times New Roman" w:hAnsi="Times New Roman" w:cs="Times New Roman"/>
          <w:lang w:val="is-IS"/>
        </w:rPr>
        <w:t xml:space="preserve"> athugasemd við stuttan frest til að koma umsögn á framfæri við frumvarpsdrögin í samráðsgátt. </w:t>
      </w:r>
      <w:r w:rsidR="00342AD5">
        <w:rPr>
          <w:rFonts w:ascii="Times New Roman" w:hAnsi="Times New Roman" w:cs="Times New Roman"/>
          <w:lang w:val="is-IS"/>
        </w:rPr>
        <w:t>Fram</w:t>
      </w:r>
      <w:r w:rsidR="005040A4">
        <w:rPr>
          <w:rFonts w:ascii="Times New Roman" w:hAnsi="Times New Roman" w:cs="Times New Roman"/>
          <w:lang w:val="is-IS"/>
        </w:rPr>
        <w:t xml:space="preserve"> </w:t>
      </w:r>
      <w:r w:rsidR="00342AD5">
        <w:rPr>
          <w:rFonts w:ascii="Times New Roman" w:hAnsi="Times New Roman" w:cs="Times New Roman"/>
          <w:lang w:val="is-IS"/>
        </w:rPr>
        <w:t>kemur</w:t>
      </w:r>
      <w:r w:rsidR="00B43988">
        <w:rPr>
          <w:rFonts w:ascii="Times New Roman" w:hAnsi="Times New Roman" w:cs="Times New Roman"/>
          <w:lang w:val="is-IS"/>
        </w:rPr>
        <w:t xml:space="preserve"> að mikilvægt </w:t>
      </w:r>
      <w:r w:rsidR="00D26362">
        <w:rPr>
          <w:rFonts w:ascii="Times New Roman" w:hAnsi="Times New Roman" w:cs="Times New Roman"/>
          <w:lang w:val="is-IS"/>
        </w:rPr>
        <w:t xml:space="preserve">sé </w:t>
      </w:r>
      <w:proofErr w:type="spellStart"/>
      <w:r w:rsidR="00D26362">
        <w:rPr>
          <w:rFonts w:ascii="Times New Roman" w:hAnsi="Times New Roman" w:cs="Times New Roman"/>
          <w:lang w:val="is-IS"/>
        </w:rPr>
        <w:t>bjóðendur</w:t>
      </w:r>
      <w:proofErr w:type="spellEnd"/>
      <w:r w:rsidR="00D26362">
        <w:rPr>
          <w:rFonts w:ascii="Times New Roman" w:hAnsi="Times New Roman" w:cs="Times New Roman"/>
          <w:lang w:val="is-IS"/>
        </w:rPr>
        <w:t xml:space="preserve"> hafi kost á að vera viðstadda opnun tilboða til að koma í veg fyrir tortryggni á innkaupaferlinu þótt stuðst sé við rafræn</w:t>
      </w:r>
      <w:r w:rsidR="006B7F6A">
        <w:rPr>
          <w:rFonts w:ascii="Times New Roman" w:hAnsi="Times New Roman" w:cs="Times New Roman"/>
          <w:lang w:val="is-IS"/>
        </w:rPr>
        <w:t>ar</w:t>
      </w:r>
      <w:r w:rsidR="00D26362">
        <w:rPr>
          <w:rFonts w:ascii="Times New Roman" w:hAnsi="Times New Roman" w:cs="Times New Roman"/>
          <w:lang w:val="is-IS"/>
        </w:rPr>
        <w:t xml:space="preserve"> aðferðir við opnun tilboða</w:t>
      </w:r>
      <w:r w:rsidR="00B43988">
        <w:rPr>
          <w:rFonts w:ascii="Times New Roman" w:hAnsi="Times New Roman" w:cs="Times New Roman"/>
          <w:lang w:val="is-IS"/>
        </w:rPr>
        <w:t xml:space="preserve">. Þá </w:t>
      </w:r>
      <w:r w:rsidR="00D26362">
        <w:rPr>
          <w:rFonts w:ascii="Times New Roman" w:hAnsi="Times New Roman" w:cs="Times New Roman"/>
          <w:lang w:val="is-IS"/>
        </w:rPr>
        <w:t>er</w:t>
      </w:r>
      <w:r w:rsidR="00B43988">
        <w:rPr>
          <w:rFonts w:ascii="Times New Roman" w:hAnsi="Times New Roman" w:cs="Times New Roman"/>
          <w:lang w:val="is-IS"/>
        </w:rPr>
        <w:t xml:space="preserve"> einnig gerð athugasemd við </w:t>
      </w:r>
      <w:r w:rsidR="00D26362">
        <w:rPr>
          <w:rFonts w:ascii="Times New Roman" w:hAnsi="Times New Roman" w:cs="Times New Roman"/>
          <w:lang w:val="is-IS"/>
        </w:rPr>
        <w:t xml:space="preserve">að </w:t>
      </w:r>
      <w:r w:rsidR="00B43988">
        <w:rPr>
          <w:rFonts w:ascii="Times New Roman" w:hAnsi="Times New Roman" w:cs="Times New Roman"/>
          <w:lang w:val="is-IS"/>
        </w:rPr>
        <w:t>niðurstöðu</w:t>
      </w:r>
      <w:r w:rsidR="00D26362">
        <w:rPr>
          <w:rFonts w:ascii="Times New Roman" w:hAnsi="Times New Roman" w:cs="Times New Roman"/>
          <w:lang w:val="is-IS"/>
        </w:rPr>
        <w:t>r</w:t>
      </w:r>
      <w:r w:rsidR="00B43988">
        <w:rPr>
          <w:rFonts w:ascii="Times New Roman" w:hAnsi="Times New Roman" w:cs="Times New Roman"/>
          <w:lang w:val="is-IS"/>
        </w:rPr>
        <w:t xml:space="preserve"> útboða</w:t>
      </w:r>
      <w:r w:rsidR="00D26362">
        <w:rPr>
          <w:rFonts w:ascii="Times New Roman" w:hAnsi="Times New Roman" w:cs="Times New Roman"/>
          <w:lang w:val="is-IS"/>
        </w:rPr>
        <w:t xml:space="preserve"> hjá kaupendum séu</w:t>
      </w:r>
      <w:r w:rsidR="00B43988">
        <w:rPr>
          <w:rFonts w:ascii="Times New Roman" w:hAnsi="Times New Roman" w:cs="Times New Roman"/>
          <w:lang w:val="is-IS"/>
        </w:rPr>
        <w:t xml:space="preserve"> birtar seint eða alls ekki. </w:t>
      </w:r>
      <w:r w:rsidR="00342AD5">
        <w:rPr>
          <w:rFonts w:ascii="Times New Roman" w:hAnsi="Times New Roman" w:cs="Times New Roman"/>
          <w:lang w:val="is-IS"/>
        </w:rPr>
        <w:t>Settar eru</w:t>
      </w:r>
      <w:r w:rsidR="00EF1ECE">
        <w:rPr>
          <w:rFonts w:ascii="Times New Roman" w:hAnsi="Times New Roman" w:cs="Times New Roman"/>
          <w:lang w:val="is-IS"/>
        </w:rPr>
        <w:t xml:space="preserve"> fram athugasemdir sem varða ákvæði um keðjuábyrgð en talið er að þær breytingar sem verið er að gera ákvæðinu gætu verið til þess fallnar að ras</w:t>
      </w:r>
      <w:r w:rsidR="00976B3C">
        <w:rPr>
          <w:rFonts w:ascii="Times New Roman" w:hAnsi="Times New Roman" w:cs="Times New Roman"/>
          <w:lang w:val="is-IS"/>
        </w:rPr>
        <w:t>ka</w:t>
      </w:r>
      <w:r w:rsidR="00EF1ECE">
        <w:rPr>
          <w:rFonts w:ascii="Times New Roman" w:hAnsi="Times New Roman" w:cs="Times New Roman"/>
          <w:lang w:val="is-IS"/>
        </w:rPr>
        <w:t xml:space="preserve"> jafnræði og samkeppni milli fyrirtækja með því að viðkvæmar viðskiptaupplýsingar fari á milli undirverktaka og aðalvertaka. Talið er að í ákvæðinu sem tekið var upp í lögunum árið 2019 feli í sér ákveðna </w:t>
      </w:r>
      <w:proofErr w:type="spellStart"/>
      <w:r w:rsidR="00EF1ECE">
        <w:rPr>
          <w:rFonts w:ascii="Times New Roman" w:hAnsi="Times New Roman" w:cs="Times New Roman"/>
          <w:lang w:val="is-IS"/>
        </w:rPr>
        <w:t>gullhúðun</w:t>
      </w:r>
      <w:proofErr w:type="spellEnd"/>
      <w:r w:rsidR="00EF1ECE">
        <w:rPr>
          <w:rFonts w:ascii="Times New Roman" w:hAnsi="Times New Roman" w:cs="Times New Roman"/>
          <w:lang w:val="is-IS"/>
        </w:rPr>
        <w:t xml:space="preserve"> á ákvæðum tilskipunarinnar sem lögin byggja á. </w:t>
      </w:r>
      <w:r w:rsidR="00342AD5">
        <w:rPr>
          <w:rFonts w:ascii="Times New Roman" w:hAnsi="Times New Roman" w:cs="Times New Roman"/>
          <w:lang w:val="is-IS"/>
        </w:rPr>
        <w:t>Enn</w:t>
      </w:r>
      <w:r w:rsidR="00976B3C">
        <w:rPr>
          <w:rFonts w:ascii="Times New Roman" w:hAnsi="Times New Roman" w:cs="Times New Roman"/>
          <w:lang w:val="is-IS"/>
        </w:rPr>
        <w:t xml:space="preserve"> fremur</w:t>
      </w:r>
      <w:r w:rsidR="00EF1ECE">
        <w:rPr>
          <w:rFonts w:ascii="Times New Roman" w:hAnsi="Times New Roman" w:cs="Times New Roman"/>
          <w:lang w:val="is-IS"/>
        </w:rPr>
        <w:t xml:space="preserve"> </w:t>
      </w:r>
      <w:r w:rsidR="00342AD5">
        <w:rPr>
          <w:rFonts w:ascii="Times New Roman" w:hAnsi="Times New Roman" w:cs="Times New Roman"/>
          <w:lang w:val="is-IS"/>
        </w:rPr>
        <w:t xml:space="preserve">eru </w:t>
      </w:r>
      <w:r w:rsidR="00EF1ECE">
        <w:rPr>
          <w:rFonts w:ascii="Times New Roman" w:hAnsi="Times New Roman" w:cs="Times New Roman"/>
          <w:lang w:val="is-IS"/>
        </w:rPr>
        <w:t xml:space="preserve">gerðar athugasemdir við </w:t>
      </w:r>
      <w:r w:rsidR="00976B3C">
        <w:rPr>
          <w:rFonts w:ascii="Times New Roman" w:hAnsi="Times New Roman" w:cs="Times New Roman"/>
          <w:lang w:val="is-IS"/>
        </w:rPr>
        <w:t xml:space="preserve">fyrirkomulag á </w:t>
      </w:r>
      <w:r w:rsidR="00EF1ECE">
        <w:rPr>
          <w:rFonts w:ascii="Times New Roman" w:hAnsi="Times New Roman" w:cs="Times New Roman"/>
          <w:lang w:val="is-IS"/>
        </w:rPr>
        <w:t>eftirlit</w:t>
      </w:r>
      <w:r w:rsidR="00976B3C">
        <w:rPr>
          <w:rFonts w:ascii="Times New Roman" w:hAnsi="Times New Roman" w:cs="Times New Roman"/>
          <w:lang w:val="is-IS"/>
        </w:rPr>
        <w:t>i</w:t>
      </w:r>
      <w:r w:rsidR="00EF1ECE">
        <w:rPr>
          <w:rFonts w:ascii="Times New Roman" w:hAnsi="Times New Roman" w:cs="Times New Roman"/>
          <w:lang w:val="is-IS"/>
        </w:rPr>
        <w:t xml:space="preserve"> með opinberum innkaupum og þær breytingar sem lagðar eru til á 103. gr. laganna</w:t>
      </w:r>
      <w:r w:rsidR="003378BE">
        <w:rPr>
          <w:rFonts w:ascii="Times New Roman" w:hAnsi="Times New Roman" w:cs="Times New Roman"/>
          <w:lang w:val="is-IS"/>
        </w:rPr>
        <w:t xml:space="preserve"> </w:t>
      </w:r>
      <w:r w:rsidR="00976B3C">
        <w:rPr>
          <w:rFonts w:ascii="Times New Roman" w:hAnsi="Times New Roman" w:cs="Times New Roman"/>
          <w:lang w:val="is-IS"/>
        </w:rPr>
        <w:t>er varðar</w:t>
      </w:r>
      <w:r w:rsidR="003378BE">
        <w:rPr>
          <w:rFonts w:ascii="Times New Roman" w:hAnsi="Times New Roman" w:cs="Times New Roman"/>
          <w:lang w:val="is-IS"/>
        </w:rPr>
        <w:t xml:space="preserve"> valdsvið kærunefndar </w:t>
      </w:r>
      <w:proofErr w:type="spellStart"/>
      <w:r w:rsidR="003378BE">
        <w:rPr>
          <w:rFonts w:ascii="Times New Roman" w:hAnsi="Times New Roman" w:cs="Times New Roman"/>
          <w:lang w:val="is-IS"/>
        </w:rPr>
        <w:t>útboðsmála</w:t>
      </w:r>
      <w:proofErr w:type="spellEnd"/>
      <w:r w:rsidR="00EF1ECE">
        <w:rPr>
          <w:rFonts w:ascii="Times New Roman" w:hAnsi="Times New Roman" w:cs="Times New Roman"/>
          <w:lang w:val="is-IS"/>
        </w:rPr>
        <w:t xml:space="preserve">. </w:t>
      </w:r>
      <w:r w:rsidR="00342AD5">
        <w:rPr>
          <w:rFonts w:ascii="Times New Roman" w:hAnsi="Times New Roman" w:cs="Times New Roman"/>
          <w:lang w:val="is-IS"/>
        </w:rPr>
        <w:t>Á</w:t>
      </w:r>
      <w:r w:rsidR="00EF1ECE">
        <w:rPr>
          <w:rFonts w:ascii="Times New Roman" w:hAnsi="Times New Roman" w:cs="Times New Roman"/>
          <w:lang w:val="is-IS"/>
        </w:rPr>
        <w:t xml:space="preserve">réttað </w:t>
      </w:r>
      <w:r w:rsidR="00342AD5">
        <w:rPr>
          <w:rFonts w:ascii="Times New Roman" w:hAnsi="Times New Roman" w:cs="Times New Roman"/>
          <w:lang w:val="is-IS"/>
        </w:rPr>
        <w:t xml:space="preserve">er </w:t>
      </w:r>
      <w:r w:rsidR="00EF1ECE">
        <w:rPr>
          <w:rFonts w:ascii="Times New Roman" w:hAnsi="Times New Roman" w:cs="Times New Roman"/>
          <w:lang w:val="is-IS"/>
        </w:rPr>
        <w:t xml:space="preserve">að samtökin líti á </w:t>
      </w:r>
      <w:proofErr w:type="spellStart"/>
      <w:r w:rsidR="00EF1ECE">
        <w:rPr>
          <w:rFonts w:ascii="Times New Roman" w:hAnsi="Times New Roman" w:cs="Times New Roman"/>
          <w:lang w:val="is-IS"/>
        </w:rPr>
        <w:t>k</w:t>
      </w:r>
      <w:r w:rsidR="00EF1ECE" w:rsidRPr="00EF1ECE">
        <w:rPr>
          <w:rFonts w:ascii="Times New Roman" w:hAnsi="Times New Roman" w:cs="Times New Roman"/>
          <w:lang w:val="is-IS"/>
        </w:rPr>
        <w:t>ærunefnd</w:t>
      </w:r>
      <w:proofErr w:type="spellEnd"/>
      <w:r w:rsidR="00EF1ECE" w:rsidRPr="00EF1ECE">
        <w:rPr>
          <w:rFonts w:ascii="Times New Roman" w:hAnsi="Times New Roman" w:cs="Times New Roman"/>
          <w:lang w:val="is-IS"/>
        </w:rPr>
        <w:t xml:space="preserve"> </w:t>
      </w:r>
      <w:proofErr w:type="spellStart"/>
      <w:r w:rsidR="00EF1ECE" w:rsidRPr="00EF1ECE">
        <w:rPr>
          <w:rFonts w:ascii="Times New Roman" w:hAnsi="Times New Roman" w:cs="Times New Roman"/>
          <w:lang w:val="is-IS"/>
        </w:rPr>
        <w:t>útboðsmála</w:t>
      </w:r>
      <w:proofErr w:type="spellEnd"/>
      <w:r w:rsidR="00EF1ECE" w:rsidRPr="00EF1ECE">
        <w:rPr>
          <w:rFonts w:ascii="Times New Roman" w:hAnsi="Times New Roman" w:cs="Times New Roman"/>
          <w:lang w:val="is-IS"/>
        </w:rPr>
        <w:t xml:space="preserve"> </w:t>
      </w:r>
      <w:r w:rsidR="00EF1ECE">
        <w:rPr>
          <w:rFonts w:ascii="Times New Roman" w:hAnsi="Times New Roman" w:cs="Times New Roman"/>
          <w:lang w:val="is-IS"/>
        </w:rPr>
        <w:t>sem</w:t>
      </w:r>
      <w:r w:rsidR="00EF1ECE" w:rsidRPr="00EF1ECE">
        <w:rPr>
          <w:rFonts w:ascii="Times New Roman" w:hAnsi="Times New Roman" w:cs="Times New Roman"/>
          <w:lang w:val="is-IS"/>
        </w:rPr>
        <w:t xml:space="preserve"> stjórnsýslunefnd </w:t>
      </w:r>
      <w:r w:rsidR="00EF1ECE">
        <w:rPr>
          <w:rFonts w:ascii="Times New Roman" w:hAnsi="Times New Roman" w:cs="Times New Roman"/>
          <w:lang w:val="is-IS"/>
        </w:rPr>
        <w:t>sem ber að sjá til þess að mál sé nægjanlega upplýst áður en ákvörðun er tekin</w:t>
      </w:r>
      <w:r w:rsidR="003378BE">
        <w:rPr>
          <w:rFonts w:ascii="Times New Roman" w:hAnsi="Times New Roman" w:cs="Times New Roman"/>
          <w:lang w:val="is-IS"/>
        </w:rPr>
        <w:t xml:space="preserve"> í kærumáli fyrir nefndinni</w:t>
      </w:r>
      <w:r w:rsidR="00976B3C">
        <w:rPr>
          <w:rFonts w:ascii="Times New Roman" w:hAnsi="Times New Roman" w:cs="Times New Roman"/>
          <w:lang w:val="is-IS"/>
        </w:rPr>
        <w:t xml:space="preserve"> og því sé varhugavert að takmarka heimildir nefndarinnar við kæruefni hverju sinni</w:t>
      </w:r>
      <w:r w:rsidR="003378BE">
        <w:rPr>
          <w:rFonts w:ascii="Times New Roman" w:hAnsi="Times New Roman" w:cs="Times New Roman"/>
          <w:lang w:val="is-IS"/>
        </w:rPr>
        <w:t xml:space="preserve">. </w:t>
      </w:r>
      <w:r w:rsidR="00976B3C">
        <w:rPr>
          <w:rFonts w:ascii="Times New Roman" w:hAnsi="Times New Roman" w:cs="Times New Roman"/>
          <w:lang w:val="is-IS"/>
        </w:rPr>
        <w:t>Þá kemur að lokum fram a</w:t>
      </w:r>
      <w:r w:rsidR="003378BE">
        <w:rPr>
          <w:rFonts w:ascii="Times New Roman" w:hAnsi="Times New Roman" w:cs="Times New Roman"/>
          <w:lang w:val="is-IS"/>
        </w:rPr>
        <w:t>ð samtökin lít</w:t>
      </w:r>
      <w:r w:rsidR="00976B3C">
        <w:rPr>
          <w:rFonts w:ascii="Times New Roman" w:hAnsi="Times New Roman" w:cs="Times New Roman"/>
          <w:lang w:val="is-IS"/>
        </w:rPr>
        <w:t>i</w:t>
      </w:r>
      <w:r w:rsidR="003378BE">
        <w:rPr>
          <w:rFonts w:ascii="Times New Roman" w:hAnsi="Times New Roman" w:cs="Times New Roman"/>
          <w:lang w:val="is-IS"/>
        </w:rPr>
        <w:t xml:space="preserve"> á sameiningu Ríkiskaupa við Fjársýsluna sem jákvætt skref </w:t>
      </w:r>
      <w:r w:rsidR="00976B3C">
        <w:rPr>
          <w:rFonts w:ascii="Times New Roman" w:hAnsi="Times New Roman" w:cs="Times New Roman"/>
          <w:lang w:val="is-IS"/>
        </w:rPr>
        <w:t xml:space="preserve">en hins vegar sé </w:t>
      </w:r>
      <w:r w:rsidR="003378BE">
        <w:rPr>
          <w:rFonts w:ascii="Times New Roman" w:hAnsi="Times New Roman" w:cs="Times New Roman"/>
          <w:lang w:val="is-IS"/>
        </w:rPr>
        <w:t>mikilvægt að komið verði á fót</w:t>
      </w:r>
      <w:r w:rsidR="00976B3C">
        <w:rPr>
          <w:rFonts w:ascii="Times New Roman" w:hAnsi="Times New Roman" w:cs="Times New Roman"/>
          <w:lang w:val="is-IS"/>
        </w:rPr>
        <w:t xml:space="preserve"> </w:t>
      </w:r>
      <w:r w:rsidR="003378BE">
        <w:rPr>
          <w:rFonts w:ascii="Times New Roman" w:hAnsi="Times New Roman" w:cs="Times New Roman"/>
          <w:lang w:val="is-IS"/>
        </w:rPr>
        <w:t xml:space="preserve">samráðsvettvangi opinberra verkkaupa til </w:t>
      </w:r>
      <w:r w:rsidR="003378BE" w:rsidRPr="003378BE">
        <w:rPr>
          <w:rFonts w:ascii="Times New Roman" w:hAnsi="Times New Roman" w:cs="Times New Roman"/>
          <w:lang w:val="is-IS"/>
        </w:rPr>
        <w:t>einfalda samtalið um bætt starfsumhverfi og innleiðingu góðra útboðsvenja til að tryggja samræmt verklag</w:t>
      </w:r>
      <w:r w:rsidR="003378BE">
        <w:rPr>
          <w:rFonts w:ascii="Times New Roman" w:hAnsi="Times New Roman" w:cs="Times New Roman"/>
          <w:lang w:val="is-IS"/>
        </w:rPr>
        <w:t xml:space="preserve">. </w:t>
      </w:r>
    </w:p>
    <w:p w14:paraId="28E8A131" w14:textId="59498417" w:rsidR="007A6A74" w:rsidRPr="00DA1594" w:rsidRDefault="007A6A74" w:rsidP="00DA1594">
      <w:pPr>
        <w:jc w:val="both"/>
        <w:rPr>
          <w:rFonts w:ascii="Times New Roman" w:hAnsi="Times New Roman" w:cs="Times New Roman"/>
          <w:lang w:val="is-IS"/>
        </w:rPr>
      </w:pPr>
      <w:r w:rsidRPr="00DA1594">
        <w:rPr>
          <w:rFonts w:ascii="Times New Roman" w:hAnsi="Times New Roman" w:cs="Times New Roman"/>
        </w:rPr>
        <w:t>Eftirfarandi er afstaða til hvers og eins sjónarmiðs sem barst í samráðsferlinu</w:t>
      </w:r>
      <w:r w:rsidRPr="00DA1594">
        <w:rPr>
          <w:rFonts w:ascii="Times New Roman" w:hAnsi="Times New Roman" w:cs="Times New Roman"/>
          <w:lang w:val="is-IS"/>
        </w:rPr>
        <w:t>:</w:t>
      </w:r>
    </w:p>
    <w:p w14:paraId="42FF0409" w14:textId="42A5EE23" w:rsidR="00D40272" w:rsidRDefault="00D40272" w:rsidP="00D40272">
      <w:pPr>
        <w:pStyle w:val="Mlsgreinlista"/>
        <w:numPr>
          <w:ilvl w:val="0"/>
          <w:numId w:val="3"/>
        </w:numPr>
        <w:jc w:val="both"/>
        <w:rPr>
          <w:rFonts w:ascii="Times New Roman" w:hAnsi="Times New Roman" w:cs="Times New Roman"/>
          <w:lang w:val="is-IS"/>
        </w:rPr>
      </w:pPr>
      <w:r w:rsidRPr="00D40272">
        <w:rPr>
          <w:rFonts w:ascii="Times New Roman" w:hAnsi="Times New Roman" w:cs="Times New Roman"/>
          <w:lang w:val="is-IS"/>
        </w:rPr>
        <w:t xml:space="preserve">Umögn frá Bandalagi háskólamanna er sett til áréttingar á að viðhafa rétt ferli er varðar miðlun upplýsinga og samráði við fulltrúa starfsfólks um þau áhrif sem skipulagsbreytingar geti haft og mikilvægi þess að niðurstöður séu kynntar starfsfólki. </w:t>
      </w:r>
      <w:r>
        <w:rPr>
          <w:rFonts w:ascii="Times New Roman" w:hAnsi="Times New Roman" w:cs="Times New Roman"/>
          <w:lang w:val="is-IS"/>
        </w:rPr>
        <w:t>Athugasemdin kallar ekki á að gerðar séu sérstakar breytingar á frumvarpsdrögunum.</w:t>
      </w:r>
    </w:p>
    <w:p w14:paraId="06B3504E" w14:textId="67AEC146" w:rsidR="00602920" w:rsidRDefault="00D40272" w:rsidP="00602920">
      <w:pPr>
        <w:pStyle w:val="Mlsgreinlista"/>
        <w:numPr>
          <w:ilvl w:val="0"/>
          <w:numId w:val="3"/>
        </w:numPr>
        <w:jc w:val="both"/>
        <w:rPr>
          <w:rFonts w:ascii="Times New Roman" w:hAnsi="Times New Roman" w:cs="Times New Roman"/>
          <w:lang w:val="is-IS"/>
        </w:rPr>
      </w:pPr>
      <w:r w:rsidRPr="00012F30">
        <w:rPr>
          <w:rFonts w:ascii="Times New Roman" w:hAnsi="Times New Roman" w:cs="Times New Roman"/>
          <w:lang w:val="is-IS"/>
        </w:rPr>
        <w:t xml:space="preserve">Í umsögn Reykjavíkurborgar </w:t>
      </w:r>
      <w:r w:rsidR="002A3BD8">
        <w:rPr>
          <w:rFonts w:ascii="Times New Roman" w:hAnsi="Times New Roman" w:cs="Times New Roman"/>
          <w:lang w:val="is-IS"/>
        </w:rPr>
        <w:t>eru</w:t>
      </w:r>
      <w:r w:rsidRPr="00012F30">
        <w:rPr>
          <w:rFonts w:ascii="Times New Roman" w:hAnsi="Times New Roman" w:cs="Times New Roman"/>
          <w:lang w:val="is-IS"/>
        </w:rPr>
        <w:t xml:space="preserve"> áréttar tillögur sem komu fram í áformaskjali um að veita</w:t>
      </w:r>
      <w:r w:rsidR="009D6ECF" w:rsidRPr="00012F30">
        <w:rPr>
          <w:rFonts w:ascii="Times New Roman" w:hAnsi="Times New Roman" w:cs="Times New Roman"/>
          <w:lang w:val="is-IS"/>
        </w:rPr>
        <w:t xml:space="preserve"> </w:t>
      </w:r>
      <w:r w:rsidRPr="00012F30">
        <w:rPr>
          <w:rFonts w:ascii="Times New Roman" w:hAnsi="Times New Roman" w:cs="Times New Roman"/>
          <w:lang w:val="is-IS"/>
        </w:rPr>
        <w:t xml:space="preserve">sveitarfélögum frest til að semja um tilboðsfresti í gagnvirkum innkaupakerfum </w:t>
      </w:r>
      <w:r w:rsidR="002A3BD8">
        <w:rPr>
          <w:rFonts w:ascii="Times New Roman" w:hAnsi="Times New Roman" w:cs="Times New Roman"/>
          <w:lang w:val="is-IS"/>
        </w:rPr>
        <w:t xml:space="preserve">og </w:t>
      </w:r>
      <w:r w:rsidRPr="00012F30">
        <w:rPr>
          <w:rFonts w:ascii="Times New Roman" w:hAnsi="Times New Roman" w:cs="Times New Roman"/>
          <w:lang w:val="is-IS"/>
        </w:rPr>
        <w:t>að mælt verði fyrir um</w:t>
      </w:r>
      <w:r w:rsidR="00012F30">
        <w:rPr>
          <w:rFonts w:ascii="Times New Roman" w:hAnsi="Times New Roman" w:cs="Times New Roman"/>
          <w:lang w:val="is-IS"/>
        </w:rPr>
        <w:t xml:space="preserve"> að </w:t>
      </w:r>
      <w:proofErr w:type="spellStart"/>
      <w:r w:rsidR="00012F30">
        <w:rPr>
          <w:rFonts w:ascii="Times New Roman" w:hAnsi="Times New Roman" w:cs="Times New Roman"/>
          <w:lang w:val="is-IS"/>
        </w:rPr>
        <w:t>kærunefnd</w:t>
      </w:r>
      <w:proofErr w:type="spellEnd"/>
      <w:r w:rsidR="00012F30">
        <w:rPr>
          <w:rFonts w:ascii="Times New Roman" w:hAnsi="Times New Roman" w:cs="Times New Roman"/>
          <w:lang w:val="is-IS"/>
        </w:rPr>
        <w:t xml:space="preserve"> </w:t>
      </w:r>
      <w:proofErr w:type="spellStart"/>
      <w:r w:rsidR="002A3BD8">
        <w:rPr>
          <w:rFonts w:ascii="Times New Roman" w:hAnsi="Times New Roman" w:cs="Times New Roman"/>
          <w:lang w:val="is-IS"/>
        </w:rPr>
        <w:t>útboðsmála</w:t>
      </w:r>
      <w:proofErr w:type="spellEnd"/>
      <w:r w:rsidR="002A3BD8">
        <w:rPr>
          <w:rFonts w:ascii="Times New Roman" w:hAnsi="Times New Roman" w:cs="Times New Roman"/>
          <w:lang w:val="is-IS"/>
        </w:rPr>
        <w:t xml:space="preserve"> </w:t>
      </w:r>
      <w:r w:rsidR="00012F30">
        <w:rPr>
          <w:rFonts w:ascii="Times New Roman" w:hAnsi="Times New Roman" w:cs="Times New Roman"/>
          <w:lang w:val="is-IS"/>
        </w:rPr>
        <w:t>geti úrskurða</w:t>
      </w:r>
      <w:r w:rsidR="00342D91">
        <w:rPr>
          <w:rFonts w:ascii="Times New Roman" w:hAnsi="Times New Roman" w:cs="Times New Roman"/>
          <w:lang w:val="is-IS"/>
        </w:rPr>
        <w:t>ð</w:t>
      </w:r>
      <w:r w:rsidR="00012F30">
        <w:rPr>
          <w:rFonts w:ascii="Times New Roman" w:hAnsi="Times New Roman" w:cs="Times New Roman"/>
          <w:lang w:val="is-IS"/>
        </w:rPr>
        <w:t xml:space="preserve"> málskostnað til kaupanda</w:t>
      </w:r>
      <w:r w:rsidR="002A3BD8">
        <w:rPr>
          <w:rFonts w:ascii="Times New Roman" w:hAnsi="Times New Roman" w:cs="Times New Roman"/>
          <w:lang w:val="is-IS"/>
        </w:rPr>
        <w:t>, en ekki eingöngu til ríkissjóðs,</w:t>
      </w:r>
      <w:r w:rsidR="00012F30" w:rsidRPr="00012F30">
        <w:rPr>
          <w:rFonts w:ascii="Times New Roman" w:hAnsi="Times New Roman" w:cs="Times New Roman"/>
          <w:lang w:val="is-IS"/>
        </w:rPr>
        <w:t xml:space="preserve"> þegar </w:t>
      </w:r>
      <w:proofErr w:type="spellStart"/>
      <w:r w:rsidR="00012F30" w:rsidRPr="00012F30">
        <w:rPr>
          <w:rFonts w:ascii="Times New Roman" w:hAnsi="Times New Roman" w:cs="Times New Roman"/>
          <w:lang w:val="is-IS"/>
        </w:rPr>
        <w:t>tilhæfulausar</w:t>
      </w:r>
      <w:proofErr w:type="spellEnd"/>
      <w:r w:rsidR="00012F30" w:rsidRPr="00012F30">
        <w:rPr>
          <w:rFonts w:ascii="Times New Roman" w:hAnsi="Times New Roman" w:cs="Times New Roman"/>
          <w:lang w:val="is-IS"/>
        </w:rPr>
        <w:t xml:space="preserve"> kærur berast</w:t>
      </w:r>
      <w:r w:rsidRPr="00012F30">
        <w:rPr>
          <w:rFonts w:ascii="Times New Roman" w:hAnsi="Times New Roman" w:cs="Times New Roman"/>
          <w:lang w:val="is-IS"/>
        </w:rPr>
        <w:t>.</w:t>
      </w:r>
      <w:r w:rsidR="00012F30" w:rsidRPr="00012F30">
        <w:rPr>
          <w:rFonts w:ascii="Times New Roman" w:hAnsi="Times New Roman" w:cs="Times New Roman"/>
          <w:lang w:val="is-IS"/>
        </w:rPr>
        <w:t xml:space="preserve"> Varðandi fresti í gagnvirku innkaupakerfi kemur fram í 4. mgr. 28. gr. tilskipunarinnar að einstökum ríkjum sé heimilt að kveða </w:t>
      </w:r>
      <w:r w:rsidR="00012F30">
        <w:rPr>
          <w:rFonts w:ascii="Times New Roman" w:hAnsi="Times New Roman" w:cs="Times New Roman"/>
          <w:lang w:val="is-IS"/>
        </w:rPr>
        <w:t>að kaupendur sem heyra undir sveitarfélög og aðra aðila en ríkið sé heimilt að semja um fresti sem sé styttri en nemur 10 daga lágmarksfresti til að taka við tilboðum að því gefnu að allir</w:t>
      </w:r>
      <w:r w:rsidR="00012F30" w:rsidRPr="00012F30">
        <w:rPr>
          <w:rFonts w:ascii="Times New Roman" w:hAnsi="Times New Roman" w:cs="Times New Roman"/>
          <w:lang w:val="is-IS"/>
        </w:rPr>
        <w:t xml:space="preserve"> </w:t>
      </w:r>
      <w:r w:rsidR="00012F30">
        <w:rPr>
          <w:rFonts w:ascii="Times New Roman" w:hAnsi="Times New Roman" w:cs="Times New Roman"/>
          <w:lang w:val="is-IS"/>
        </w:rPr>
        <w:t>þátttakendur</w:t>
      </w:r>
      <w:r w:rsidR="00012F30" w:rsidRPr="00012F30">
        <w:rPr>
          <w:rFonts w:ascii="Times New Roman" w:hAnsi="Times New Roman" w:cs="Times New Roman"/>
          <w:lang w:val="is-IS"/>
        </w:rPr>
        <w:t xml:space="preserve"> </w:t>
      </w:r>
      <w:r w:rsidR="00012F30">
        <w:rPr>
          <w:rFonts w:ascii="Times New Roman" w:hAnsi="Times New Roman" w:cs="Times New Roman"/>
          <w:lang w:val="is-IS"/>
        </w:rPr>
        <w:t xml:space="preserve">samþykki það sérstaklega. Ekki þótti tilefni til að gera breytingar á þessu ákvæði þar sem 10 daga frestur til að setja fram tilboð þykir almennt vera stuttur tími. Þá verður að telja að ákveðið óhagræði geti skapast með því að hafa ólíkar reglur um fresti sem gilda annars vegar gagnvart ríkisstofnunum og hins vegar gagnvart sveitarfélögum og öðrum opinberum aðilum. Eðlilegra þykir að hafa samræmd viðmið þegar að þessu kemur. </w:t>
      </w:r>
      <w:r w:rsidR="00342D91">
        <w:rPr>
          <w:rFonts w:ascii="Times New Roman" w:hAnsi="Times New Roman" w:cs="Times New Roman"/>
          <w:lang w:val="is-IS"/>
        </w:rPr>
        <w:t xml:space="preserve">Ekki var heldur orðið við því að gera breytingar á greiðslu málskostnaðar þegar </w:t>
      </w:r>
      <w:proofErr w:type="spellStart"/>
      <w:r w:rsidR="00342D91">
        <w:rPr>
          <w:rFonts w:ascii="Times New Roman" w:hAnsi="Times New Roman" w:cs="Times New Roman"/>
          <w:lang w:val="is-IS"/>
        </w:rPr>
        <w:t>tilhæfulausar</w:t>
      </w:r>
      <w:proofErr w:type="spellEnd"/>
      <w:r w:rsidR="00342D91">
        <w:rPr>
          <w:rFonts w:ascii="Times New Roman" w:hAnsi="Times New Roman" w:cs="Times New Roman"/>
          <w:lang w:val="is-IS"/>
        </w:rPr>
        <w:t xml:space="preserve"> kærur berast. Í nú</w:t>
      </w:r>
      <w:r w:rsidR="002A3BD8">
        <w:rPr>
          <w:rFonts w:ascii="Times New Roman" w:hAnsi="Times New Roman" w:cs="Times New Roman"/>
          <w:lang w:val="is-IS"/>
        </w:rPr>
        <w:t>gildandi</w:t>
      </w:r>
      <w:r w:rsidR="00342D91">
        <w:rPr>
          <w:rFonts w:ascii="Times New Roman" w:hAnsi="Times New Roman" w:cs="Times New Roman"/>
          <w:lang w:val="is-IS"/>
        </w:rPr>
        <w:t xml:space="preserve"> ákvæði kemur fram að slíkar greiðslur skuli renna í ríkissjóðs sem stendur undir rekstri kærunefndar </w:t>
      </w:r>
      <w:proofErr w:type="spellStart"/>
      <w:r w:rsidR="00342D91">
        <w:rPr>
          <w:rFonts w:ascii="Times New Roman" w:hAnsi="Times New Roman" w:cs="Times New Roman"/>
          <w:lang w:val="is-IS"/>
        </w:rPr>
        <w:t>útboðsmála</w:t>
      </w:r>
      <w:proofErr w:type="spellEnd"/>
      <w:r w:rsidR="00342D91">
        <w:rPr>
          <w:rFonts w:ascii="Times New Roman" w:hAnsi="Times New Roman" w:cs="Times New Roman"/>
          <w:lang w:val="is-IS"/>
        </w:rPr>
        <w:t xml:space="preserve"> að öllu leyti. Þá ráðuneytinu ekki kunnugt um að þessari heimild sé oft beitt á vegum nefndarinnar og því er gert ráð fyrir að þetta séu óverulegar fjárhæðir. Í umsögn borgarinnar við frumvarpsdrögin er talin þörf á að endurskoða innlenda viðmiðunarfjárhæð vegna verkframkvæmda. Í frumvarpinu kemur fram að ekki þ</w:t>
      </w:r>
      <w:r w:rsidR="00342D91" w:rsidRPr="00342D91">
        <w:rPr>
          <w:rFonts w:ascii="Times New Roman" w:hAnsi="Times New Roman" w:cs="Times New Roman"/>
          <w:lang w:val="is-IS"/>
        </w:rPr>
        <w:t xml:space="preserve">ykir réttlætanlegt að </w:t>
      </w:r>
      <w:r w:rsidR="00342D91">
        <w:rPr>
          <w:rFonts w:ascii="Times New Roman" w:hAnsi="Times New Roman" w:cs="Times New Roman"/>
          <w:lang w:val="is-IS"/>
        </w:rPr>
        <w:t xml:space="preserve">fella niður þá viðmiðunarfjárhæð þannig að </w:t>
      </w:r>
      <w:r w:rsidR="00342D91" w:rsidRPr="00342D91">
        <w:rPr>
          <w:rFonts w:ascii="Times New Roman" w:hAnsi="Times New Roman" w:cs="Times New Roman"/>
          <w:lang w:val="is-IS"/>
        </w:rPr>
        <w:t xml:space="preserve">aðeins meginreglur laganna gildi um innkaup undir 808 </w:t>
      </w:r>
      <w:proofErr w:type="spellStart"/>
      <w:r w:rsidR="00342D91" w:rsidRPr="00342D91">
        <w:rPr>
          <w:rFonts w:ascii="Times New Roman" w:hAnsi="Times New Roman" w:cs="Times New Roman"/>
          <w:lang w:val="is-IS"/>
        </w:rPr>
        <w:t>millj</w:t>
      </w:r>
      <w:proofErr w:type="spellEnd"/>
      <w:r w:rsidR="00342D91" w:rsidRPr="00342D91">
        <w:rPr>
          <w:rFonts w:ascii="Times New Roman" w:hAnsi="Times New Roman" w:cs="Times New Roman"/>
          <w:lang w:val="is-IS"/>
        </w:rPr>
        <w:t>. kr. vegna verkframkvæmda.</w:t>
      </w:r>
      <w:r w:rsidR="00342D91">
        <w:rPr>
          <w:rFonts w:ascii="Times New Roman" w:hAnsi="Times New Roman" w:cs="Times New Roman"/>
          <w:lang w:val="is-IS"/>
        </w:rPr>
        <w:t xml:space="preserve"> Til að hægt sé að endurskoða viðmiðunarfjárhæð til hækkunar þarf að liggja fyrir hvaða áhrif það kann að hafa á samkeppni á verktakamarkaði sem liggur ekki fyrir á þessu stigi. </w:t>
      </w:r>
      <w:r w:rsidR="00602920">
        <w:rPr>
          <w:rFonts w:ascii="Times New Roman" w:hAnsi="Times New Roman" w:cs="Times New Roman"/>
          <w:lang w:val="is-IS"/>
        </w:rPr>
        <w:t xml:space="preserve">Í umsögn borgarinnar var gerð athugasemd við 8. og 15. gr. frumvarpsins </w:t>
      </w:r>
      <w:r w:rsidR="002A3BD8">
        <w:rPr>
          <w:rFonts w:ascii="Times New Roman" w:hAnsi="Times New Roman" w:cs="Times New Roman"/>
          <w:lang w:val="is-IS"/>
        </w:rPr>
        <w:t>sem fjallar annars vegar um</w:t>
      </w:r>
      <w:r w:rsidR="00602920">
        <w:rPr>
          <w:rFonts w:ascii="Times New Roman" w:hAnsi="Times New Roman" w:cs="Times New Roman"/>
          <w:lang w:val="is-IS"/>
        </w:rPr>
        <w:t xml:space="preserve"> þegar opnun tilboða er frestað og </w:t>
      </w:r>
      <w:r w:rsidR="002A3BD8">
        <w:rPr>
          <w:rFonts w:ascii="Times New Roman" w:hAnsi="Times New Roman" w:cs="Times New Roman"/>
          <w:lang w:val="is-IS"/>
        </w:rPr>
        <w:t xml:space="preserve">hins vegar </w:t>
      </w:r>
      <w:r w:rsidR="00602920">
        <w:rPr>
          <w:rFonts w:ascii="Times New Roman" w:hAnsi="Times New Roman" w:cs="Times New Roman"/>
          <w:lang w:val="is-IS"/>
        </w:rPr>
        <w:lastRenderedPageBreak/>
        <w:t xml:space="preserve">heimild kaupanda til að afla gagna vegna keðjuábyrgðar. Tekið hefur verið sérstakt tillit til þessara athugasemda og </w:t>
      </w:r>
      <w:r w:rsidR="002A3BD8">
        <w:rPr>
          <w:rFonts w:ascii="Times New Roman" w:hAnsi="Times New Roman" w:cs="Times New Roman"/>
          <w:lang w:val="is-IS"/>
        </w:rPr>
        <w:t xml:space="preserve">voru </w:t>
      </w:r>
      <w:r w:rsidR="00602920">
        <w:rPr>
          <w:rFonts w:ascii="Times New Roman" w:hAnsi="Times New Roman" w:cs="Times New Roman"/>
          <w:lang w:val="is-IS"/>
        </w:rPr>
        <w:t>breytingar gerðar á frumvarpsdrögunum. Við 20. gr. frumvarpsins voru gerðar athugasemdir við hækkun kærugjald</w:t>
      </w:r>
      <w:r w:rsidR="002A3BD8">
        <w:rPr>
          <w:rFonts w:ascii="Times New Roman" w:hAnsi="Times New Roman" w:cs="Times New Roman"/>
          <w:lang w:val="is-IS"/>
        </w:rPr>
        <w:t>s</w:t>
      </w:r>
      <w:r w:rsidR="00602920">
        <w:rPr>
          <w:rFonts w:ascii="Times New Roman" w:hAnsi="Times New Roman" w:cs="Times New Roman"/>
          <w:lang w:val="is-IS"/>
        </w:rPr>
        <w:t xml:space="preserve"> fyrir </w:t>
      </w:r>
      <w:proofErr w:type="spellStart"/>
      <w:r w:rsidR="00602920">
        <w:rPr>
          <w:rFonts w:ascii="Times New Roman" w:hAnsi="Times New Roman" w:cs="Times New Roman"/>
          <w:lang w:val="is-IS"/>
        </w:rPr>
        <w:t>kærunefnd</w:t>
      </w:r>
      <w:proofErr w:type="spellEnd"/>
      <w:r w:rsidR="002A3BD8">
        <w:rPr>
          <w:rFonts w:ascii="Times New Roman" w:hAnsi="Times New Roman" w:cs="Times New Roman"/>
          <w:lang w:val="is-IS"/>
        </w:rPr>
        <w:t xml:space="preserve"> </w:t>
      </w:r>
      <w:proofErr w:type="spellStart"/>
      <w:r w:rsidR="002A3BD8">
        <w:rPr>
          <w:rFonts w:ascii="Times New Roman" w:hAnsi="Times New Roman" w:cs="Times New Roman"/>
          <w:lang w:val="is-IS"/>
        </w:rPr>
        <w:t>útboðsmála</w:t>
      </w:r>
      <w:proofErr w:type="spellEnd"/>
      <w:r w:rsidR="00602920">
        <w:rPr>
          <w:rFonts w:ascii="Times New Roman" w:hAnsi="Times New Roman" w:cs="Times New Roman"/>
          <w:lang w:val="is-IS"/>
        </w:rPr>
        <w:t xml:space="preserve">. </w:t>
      </w:r>
      <w:r w:rsidR="002A3BD8">
        <w:rPr>
          <w:rFonts w:ascii="Times New Roman" w:hAnsi="Times New Roman" w:cs="Times New Roman"/>
          <w:lang w:val="is-IS"/>
        </w:rPr>
        <w:t>Fram kom að þörf væri</w:t>
      </w:r>
      <w:r w:rsidR="00602920">
        <w:rPr>
          <w:rFonts w:ascii="Times New Roman" w:hAnsi="Times New Roman" w:cs="Times New Roman"/>
          <w:lang w:val="is-IS"/>
        </w:rPr>
        <w:t xml:space="preserve"> á að hækka kærugjaldið mun meira en fram kemur í frumvarpsdrögunum. Hafa þarf í huga að </w:t>
      </w:r>
      <w:r w:rsidR="00D26E4A">
        <w:rPr>
          <w:rFonts w:ascii="Times New Roman" w:hAnsi="Times New Roman" w:cs="Times New Roman"/>
          <w:lang w:val="is-IS"/>
        </w:rPr>
        <w:t xml:space="preserve">reglubundið </w:t>
      </w:r>
      <w:r w:rsidR="00602920">
        <w:rPr>
          <w:rFonts w:ascii="Times New Roman" w:hAnsi="Times New Roman" w:cs="Times New Roman"/>
          <w:lang w:val="is-IS"/>
        </w:rPr>
        <w:t>eftirlit með opinberum innkaupum fer einkum fram með virku ef</w:t>
      </w:r>
      <w:r w:rsidR="00D26E4A">
        <w:rPr>
          <w:rFonts w:ascii="Times New Roman" w:hAnsi="Times New Roman" w:cs="Times New Roman"/>
          <w:lang w:val="is-IS"/>
        </w:rPr>
        <w:t>tirliti markaðsaðila með kærum fyrir kærunefndinni. Verði kærugjaldið hækkað verulega gæti það verið til þess fallið að draga verulega úr slíku eftirliti</w:t>
      </w:r>
      <w:r w:rsidR="002A3BD8">
        <w:rPr>
          <w:rFonts w:ascii="Times New Roman" w:hAnsi="Times New Roman" w:cs="Times New Roman"/>
          <w:lang w:val="is-IS"/>
        </w:rPr>
        <w:t xml:space="preserve"> og var af þeim sökum ekki talið ástæð að hækka gjaldið umfram það sem kemur fram í frumvarpdrögunum</w:t>
      </w:r>
      <w:r w:rsidR="00D26E4A">
        <w:rPr>
          <w:rFonts w:ascii="Times New Roman" w:hAnsi="Times New Roman" w:cs="Times New Roman"/>
          <w:lang w:val="is-IS"/>
        </w:rPr>
        <w:t xml:space="preserve">. </w:t>
      </w:r>
      <w:r w:rsidR="002A3BD8">
        <w:rPr>
          <w:rFonts w:ascii="Times New Roman" w:hAnsi="Times New Roman" w:cs="Times New Roman"/>
          <w:lang w:val="is-IS"/>
        </w:rPr>
        <w:t xml:space="preserve">Í umsögninni er vísað til fjárhæðar kærugjalds í Danmörku sem er nokkuð hærra en hér á landi. Til samanburðar má þess </w:t>
      </w:r>
      <w:r w:rsidR="00D26E4A">
        <w:rPr>
          <w:rFonts w:ascii="Times New Roman" w:hAnsi="Times New Roman" w:cs="Times New Roman"/>
          <w:lang w:val="is-IS"/>
        </w:rPr>
        <w:t>einnig geta að kærugjaldið í Noregi er tvískipt þar sem talsvert lægra gjald er greitt vegna mögulegs brots á því að hafa ekki boðið út samning með opnum og gagnsæjum hætti</w:t>
      </w:r>
      <w:r w:rsidR="002A3BD8">
        <w:rPr>
          <w:rFonts w:ascii="Times New Roman" w:hAnsi="Times New Roman" w:cs="Times New Roman"/>
          <w:lang w:val="is-IS"/>
        </w:rPr>
        <w:t xml:space="preserve"> en hins vegar er hærra gjald þegar kemur að örðum kærum</w:t>
      </w:r>
      <w:r w:rsidR="00D26E4A">
        <w:rPr>
          <w:rFonts w:ascii="Times New Roman" w:hAnsi="Times New Roman" w:cs="Times New Roman"/>
          <w:lang w:val="is-IS"/>
        </w:rPr>
        <w:t>. Varðandi athugasemdir við 23. gr. þá telur ráðneytið það fullnægjandi að innleiða reglur um</w:t>
      </w:r>
      <w:r w:rsidR="00D26E4A" w:rsidRPr="00D26E4A">
        <w:rPr>
          <w:rFonts w:ascii="Times New Roman" w:hAnsi="Times New Roman" w:cs="Times New Roman"/>
          <w:lang w:val="is-IS"/>
        </w:rPr>
        <w:t xml:space="preserve"> hvernig beri að reikna tímabil, dagsetningar og fresti</w:t>
      </w:r>
      <w:r w:rsidR="00D26E4A">
        <w:rPr>
          <w:rFonts w:ascii="Times New Roman" w:hAnsi="Times New Roman" w:cs="Times New Roman"/>
          <w:lang w:val="is-IS"/>
        </w:rPr>
        <w:t xml:space="preserve"> með reglugerð. Umrædd ákvæði koma heldur ekki fram í útboðstilskipuninni sjálfri heldur er vísað til sérstakrar reglugerðar um þetta efni sem hefur gilt um langt skeið</w:t>
      </w:r>
      <w:r w:rsidR="002A3BD8">
        <w:rPr>
          <w:rFonts w:ascii="Times New Roman" w:hAnsi="Times New Roman" w:cs="Times New Roman"/>
          <w:lang w:val="is-IS"/>
        </w:rPr>
        <w:t xml:space="preserve"> og því er fyrst og fremst litið á þetta sem framkvæmdaatriði sem vel er hægt að leysa í reglugerð. </w:t>
      </w:r>
    </w:p>
    <w:p w14:paraId="0DF4083A" w14:textId="2EAFB535" w:rsidR="00012F30" w:rsidRDefault="00D26E4A" w:rsidP="00D40272">
      <w:pPr>
        <w:pStyle w:val="Mlsgreinlista"/>
        <w:numPr>
          <w:ilvl w:val="0"/>
          <w:numId w:val="3"/>
        </w:numPr>
        <w:jc w:val="both"/>
        <w:rPr>
          <w:rFonts w:ascii="Times New Roman" w:hAnsi="Times New Roman" w:cs="Times New Roman"/>
          <w:lang w:val="is-IS"/>
        </w:rPr>
      </w:pPr>
      <w:r>
        <w:rPr>
          <w:rFonts w:ascii="Times New Roman" w:hAnsi="Times New Roman" w:cs="Times New Roman"/>
          <w:lang w:val="is-IS"/>
        </w:rPr>
        <w:t>Í umsögnum Proc</w:t>
      </w:r>
      <w:r w:rsidR="000F76BB">
        <w:rPr>
          <w:rFonts w:ascii="Times New Roman" w:hAnsi="Times New Roman" w:cs="Times New Roman"/>
          <w:lang w:val="is-IS"/>
        </w:rPr>
        <w:t>ure</w:t>
      </w:r>
      <w:r>
        <w:rPr>
          <w:rFonts w:ascii="Times New Roman" w:hAnsi="Times New Roman" w:cs="Times New Roman"/>
          <w:lang w:val="is-IS"/>
        </w:rPr>
        <w:t xml:space="preserve">.is og </w:t>
      </w:r>
      <w:proofErr w:type="spellStart"/>
      <w:r>
        <w:rPr>
          <w:rFonts w:ascii="Times New Roman" w:hAnsi="Times New Roman" w:cs="Times New Roman"/>
          <w:lang w:val="is-IS"/>
        </w:rPr>
        <w:t>Consensa</w:t>
      </w:r>
      <w:proofErr w:type="spellEnd"/>
      <w:r>
        <w:rPr>
          <w:rFonts w:ascii="Times New Roman" w:hAnsi="Times New Roman" w:cs="Times New Roman"/>
          <w:lang w:val="is-IS"/>
        </w:rPr>
        <w:t xml:space="preserve"> er</w:t>
      </w:r>
      <w:r w:rsidR="00976B3C">
        <w:rPr>
          <w:rFonts w:ascii="Times New Roman" w:hAnsi="Times New Roman" w:cs="Times New Roman"/>
          <w:lang w:val="is-IS"/>
        </w:rPr>
        <w:t>u</w:t>
      </w:r>
      <w:r>
        <w:rPr>
          <w:rFonts w:ascii="Times New Roman" w:hAnsi="Times New Roman" w:cs="Times New Roman"/>
          <w:lang w:val="is-IS"/>
        </w:rPr>
        <w:t xml:space="preserve"> einkum gerðar athugasemdir er lúta að hlutverki miðlægrar innkaupastofnunar og framkvæmd innkaupaþjónustunnar. </w:t>
      </w:r>
      <w:r w:rsidR="000F76BB">
        <w:rPr>
          <w:rFonts w:ascii="Times New Roman" w:hAnsi="Times New Roman" w:cs="Times New Roman"/>
          <w:lang w:val="is-IS"/>
        </w:rPr>
        <w:t xml:space="preserve">Báðir aðilar leggja aukna áherslu á aðkomu aðila á almennum markaði við veitingu innkaupa- og ráðgjafaþjónustu til opinberra aðila í stað miðstýringar á þessu sviði. Með breytingum á stofnanaumgjörðinni stendur til að skerpa á hlutverki miðlægrar innkaupastofnunar gagnvart ríkisstofnunum og draga úr hlutverki hennar gagnvart opinberum aðilum. Með þeim áherslubreytingum ættu aukin tækifæri að skapast á markaði fyrir aðra aðila að veita innkauparáðgjöf til opinberra aðila. Enn fremur er gert ráð fyrir að hægt verði að draga úr miðstýringu á þessu sviði gagnvart ríkisstofnunum sem hafa til þess getu og burði til að leysa þessi verkefni með öðrum hætti. Til áréttingar þessu hefur verið skerpt á skýringum sem koma fram í frumvarpinu. </w:t>
      </w:r>
    </w:p>
    <w:p w14:paraId="448769C7" w14:textId="19F1C898" w:rsidR="00DC0C7C" w:rsidRDefault="00B60B59" w:rsidP="00592968">
      <w:pPr>
        <w:pStyle w:val="Mlsgreinlista"/>
        <w:numPr>
          <w:ilvl w:val="0"/>
          <w:numId w:val="3"/>
        </w:numPr>
        <w:jc w:val="both"/>
        <w:rPr>
          <w:rFonts w:ascii="Times New Roman" w:hAnsi="Times New Roman" w:cs="Times New Roman"/>
          <w:lang w:val="is-IS"/>
        </w:rPr>
      </w:pPr>
      <w:r w:rsidRPr="00DC0C7C">
        <w:rPr>
          <w:rFonts w:ascii="Times New Roman" w:hAnsi="Times New Roman" w:cs="Times New Roman"/>
          <w:lang w:val="is-IS"/>
        </w:rPr>
        <w:t xml:space="preserve">Í sameiginlegri umsögn SI, SA og SVÞ er gerð athugasemd við hvernig staðið er að opnun tilboða þegar stuðst er rafrænar aðferðir og að niðurstöður útboða séu oft birtar seint eða illa. Í rafrænum útboðskerfum opnast aðgengi að innsendum tilboðum fyrst eftir að fresti lýkur. Upplestur eða birting slíkra upplýsinga gagnvart viðstöddum </w:t>
      </w:r>
      <w:proofErr w:type="spellStart"/>
      <w:r w:rsidRPr="00DC0C7C">
        <w:rPr>
          <w:rFonts w:ascii="Times New Roman" w:hAnsi="Times New Roman" w:cs="Times New Roman"/>
          <w:lang w:val="is-IS"/>
        </w:rPr>
        <w:t>bjóðendum</w:t>
      </w:r>
      <w:proofErr w:type="spellEnd"/>
      <w:r w:rsidRPr="00DC0C7C">
        <w:rPr>
          <w:rFonts w:ascii="Times New Roman" w:hAnsi="Times New Roman" w:cs="Times New Roman"/>
          <w:lang w:val="is-IS"/>
        </w:rPr>
        <w:t xml:space="preserve"> er áfram heimil, en áframsending upplýsinga rafrænt af hálfu kaupenda felur í sér sömu upplýsingagjöf, er hröð og hagkvæm. Notkun rafrænna aðferða er einnig í samræmi við stefnu stjórnvalda um stafræna þjónustu. Niðurstöður útboða þarf að birta öllum þátttakendum við tilkynningu um val tilboða og er það misjafnt eftir ferlum hvaða tími fer í yfirferð innsendra tilboða. Í 85. gr. laganna er tiltekið að kaupandi skuli tilkynna þátttakendum eða </w:t>
      </w:r>
      <w:proofErr w:type="spellStart"/>
      <w:r w:rsidRPr="00DC0C7C">
        <w:rPr>
          <w:rFonts w:ascii="Times New Roman" w:hAnsi="Times New Roman" w:cs="Times New Roman"/>
          <w:lang w:val="is-IS"/>
        </w:rPr>
        <w:t>bjóðendum</w:t>
      </w:r>
      <w:proofErr w:type="spellEnd"/>
      <w:r w:rsidRPr="00DC0C7C">
        <w:rPr>
          <w:rFonts w:ascii="Times New Roman" w:hAnsi="Times New Roman" w:cs="Times New Roman"/>
          <w:lang w:val="is-IS"/>
        </w:rPr>
        <w:t xml:space="preserve"> um ákvarðanir um val tilboðs, gerð rammasamnings eða aðgang að gagnvirku innkaupakerfi eins fljótt og mögulegt er. </w:t>
      </w:r>
      <w:proofErr w:type="spellStart"/>
      <w:r w:rsidRPr="00DC0C7C">
        <w:rPr>
          <w:rFonts w:ascii="Times New Roman" w:hAnsi="Times New Roman" w:cs="Times New Roman"/>
          <w:lang w:val="is-IS"/>
        </w:rPr>
        <w:t>Ennfremur</w:t>
      </w:r>
      <w:proofErr w:type="spellEnd"/>
      <w:r w:rsidRPr="00DC0C7C">
        <w:rPr>
          <w:rFonts w:ascii="Times New Roman" w:hAnsi="Times New Roman" w:cs="Times New Roman"/>
          <w:lang w:val="is-IS"/>
        </w:rPr>
        <w:t xml:space="preserve"> kemur fram í 86. gr. að þegar kominn sé á samningur skal það tilkynnt öllum </w:t>
      </w:r>
      <w:proofErr w:type="spellStart"/>
      <w:r w:rsidRPr="00DC0C7C">
        <w:rPr>
          <w:rFonts w:ascii="Times New Roman" w:hAnsi="Times New Roman" w:cs="Times New Roman"/>
          <w:lang w:val="is-IS"/>
        </w:rPr>
        <w:t>bjóðendum</w:t>
      </w:r>
      <w:proofErr w:type="spellEnd"/>
      <w:r w:rsidRPr="00DC0C7C">
        <w:rPr>
          <w:rFonts w:ascii="Times New Roman" w:hAnsi="Times New Roman" w:cs="Times New Roman"/>
          <w:lang w:val="is-IS"/>
        </w:rPr>
        <w:t xml:space="preserve"> án tafar. Ekki er forsenda til að skylda ákveðinn dagafjölda áður en val tilboða er tilkynnt enda er úrvinnsla innsendra tilboða bæði háð fjölda tilboða</w:t>
      </w:r>
      <w:r w:rsidR="00DC0C7C" w:rsidRPr="00DC0C7C">
        <w:rPr>
          <w:rFonts w:ascii="Times New Roman" w:hAnsi="Times New Roman" w:cs="Times New Roman"/>
          <w:lang w:val="is-IS"/>
        </w:rPr>
        <w:t xml:space="preserve"> og </w:t>
      </w:r>
      <w:r w:rsidRPr="00DC0C7C">
        <w:rPr>
          <w:rFonts w:ascii="Times New Roman" w:hAnsi="Times New Roman" w:cs="Times New Roman"/>
          <w:lang w:val="is-IS"/>
        </w:rPr>
        <w:t>eðli innkaupanna.</w:t>
      </w:r>
    </w:p>
    <w:p w14:paraId="6BA925C4" w14:textId="77777777" w:rsidR="00DC0C7C" w:rsidRDefault="00DC0C7C" w:rsidP="00DC0C7C">
      <w:pPr>
        <w:pStyle w:val="Mlsgreinlista"/>
        <w:ind w:left="360"/>
        <w:jc w:val="both"/>
        <w:rPr>
          <w:rFonts w:ascii="Times New Roman" w:hAnsi="Times New Roman" w:cs="Times New Roman"/>
          <w:lang w:val="is-IS"/>
        </w:rPr>
      </w:pPr>
    </w:p>
    <w:p w14:paraId="4AF620F8" w14:textId="6B5CB22B" w:rsidR="00DC0C7C" w:rsidRDefault="00DC0C7C" w:rsidP="00DC0C7C">
      <w:pPr>
        <w:pStyle w:val="Mlsgreinlista"/>
        <w:ind w:left="360"/>
        <w:jc w:val="both"/>
        <w:rPr>
          <w:rFonts w:ascii="Times New Roman" w:hAnsi="Times New Roman" w:cs="Times New Roman"/>
          <w:lang w:val="is-IS"/>
        </w:rPr>
      </w:pPr>
      <w:r>
        <w:rPr>
          <w:rFonts w:ascii="Times New Roman" w:hAnsi="Times New Roman" w:cs="Times New Roman"/>
          <w:lang w:val="is-IS"/>
        </w:rPr>
        <w:t xml:space="preserve">Í umsögn samtakanna eru settar fram athugasemdir er varða ákvæði </w:t>
      </w:r>
      <w:r w:rsidR="005040A4" w:rsidRPr="00DC0C7C">
        <w:rPr>
          <w:rFonts w:ascii="Times New Roman" w:hAnsi="Times New Roman" w:cs="Times New Roman"/>
          <w:lang w:val="is-IS"/>
        </w:rPr>
        <w:t>um keðjuábyrgð</w:t>
      </w:r>
      <w:r>
        <w:rPr>
          <w:rFonts w:ascii="Times New Roman" w:hAnsi="Times New Roman" w:cs="Times New Roman"/>
          <w:lang w:val="is-IS"/>
        </w:rPr>
        <w:t xml:space="preserve"> sem</w:t>
      </w:r>
      <w:r w:rsidR="005040A4" w:rsidRPr="00DC0C7C">
        <w:rPr>
          <w:rFonts w:ascii="Times New Roman" w:hAnsi="Times New Roman" w:cs="Times New Roman"/>
          <w:lang w:val="is-IS"/>
        </w:rPr>
        <w:t xml:space="preserve"> var bætt við lög um opinber innkaup árið 2019. Meginmarkmið ákvæðisins er að sporna við mögulegri misnotkun á vinnuafli hér á landi ásamt því að auka vitund kaupenda um slíkt. </w:t>
      </w:r>
      <w:r w:rsidR="0040555A" w:rsidRPr="00DC0C7C">
        <w:rPr>
          <w:rFonts w:ascii="Times New Roman" w:hAnsi="Times New Roman" w:cs="Times New Roman"/>
          <w:lang w:val="is-IS"/>
        </w:rPr>
        <w:t xml:space="preserve">Ákvæðið í tilskipuninni er almennt orðlag og gerir ráð fyrir að hvert ríki fyrir sig útfæri það betur til samræmis við landsrétt í hverju ríki fyrir sig. Í aðfararorðum tilskipunarinnar koma fram skýringar um það hvernig beri að túlka ákvæðið en þar kemur fram að nauðsynlegt sé að tryggja gagnsæi í undirverktakakeðjunni og að upplýsingar liggi fyrir um hverjir eru til staðar á byggingarsvæðum eða hvaða fyrirtæki veita þjónustu opinberir aðilar bera ábyrgð á eða hafa yfirumsjón með. Þá kemur </w:t>
      </w:r>
      <w:r w:rsidR="00E42EE2" w:rsidRPr="00DC0C7C">
        <w:rPr>
          <w:rFonts w:ascii="Times New Roman" w:hAnsi="Times New Roman" w:cs="Times New Roman"/>
          <w:lang w:val="is-IS"/>
        </w:rPr>
        <w:t xml:space="preserve">einnig </w:t>
      </w:r>
      <w:r w:rsidR="0040555A" w:rsidRPr="00DC0C7C">
        <w:rPr>
          <w:rFonts w:ascii="Times New Roman" w:hAnsi="Times New Roman" w:cs="Times New Roman"/>
          <w:lang w:val="is-IS"/>
        </w:rPr>
        <w:t xml:space="preserve">fram í aðfararorðunum </w:t>
      </w:r>
      <w:r w:rsidR="00E42EE2" w:rsidRPr="00DC0C7C">
        <w:rPr>
          <w:rFonts w:ascii="Times New Roman" w:hAnsi="Times New Roman" w:cs="Times New Roman"/>
          <w:lang w:val="is-IS"/>
        </w:rPr>
        <w:t>að það ættu að koma fram skýr</w:t>
      </w:r>
      <w:r w:rsidR="0040555A" w:rsidRPr="00DC0C7C">
        <w:rPr>
          <w:rFonts w:ascii="Times New Roman" w:hAnsi="Times New Roman" w:cs="Times New Roman"/>
          <w:lang w:val="is-IS"/>
        </w:rPr>
        <w:t xml:space="preserve"> skilyrði </w:t>
      </w:r>
      <w:r w:rsidR="00E42EE2" w:rsidRPr="00DC0C7C">
        <w:rPr>
          <w:rFonts w:ascii="Times New Roman" w:hAnsi="Times New Roman" w:cs="Times New Roman"/>
          <w:lang w:val="is-IS"/>
        </w:rPr>
        <w:t>að fara þurfi</w:t>
      </w:r>
      <w:r w:rsidR="0040555A" w:rsidRPr="00DC0C7C">
        <w:rPr>
          <w:rFonts w:ascii="Times New Roman" w:hAnsi="Times New Roman" w:cs="Times New Roman"/>
          <w:lang w:val="is-IS"/>
        </w:rPr>
        <w:t xml:space="preserve"> að viðeigandi skyldum á sviði vinnuréttar, kjarasamningum og örðum ákvæðum alþjóðlegrar umhverfis-, félagsmála- eða vinnulöggjafar</w:t>
      </w:r>
      <w:r w:rsidR="00E42EE2" w:rsidRPr="00DC0C7C">
        <w:rPr>
          <w:rFonts w:ascii="Times New Roman" w:hAnsi="Times New Roman" w:cs="Times New Roman"/>
          <w:lang w:val="is-IS"/>
        </w:rPr>
        <w:t xml:space="preserve"> við framkvæmd keðjuábyrgðarinnar. Af þeim sökum er ekki fallist </w:t>
      </w:r>
      <w:r w:rsidR="00E42EE2" w:rsidRPr="00DC0C7C">
        <w:rPr>
          <w:rFonts w:ascii="Times New Roman" w:hAnsi="Times New Roman" w:cs="Times New Roman"/>
          <w:lang w:val="is-IS"/>
        </w:rPr>
        <w:lastRenderedPageBreak/>
        <w:t xml:space="preserve">á að ákvæðið og hugsunin að baki þess eigi að takmarkast eingöngu við verktakagreiðslur. </w:t>
      </w:r>
      <w:r w:rsidR="0090615D" w:rsidRPr="00DC0C7C">
        <w:rPr>
          <w:rFonts w:ascii="Times New Roman" w:hAnsi="Times New Roman" w:cs="Times New Roman"/>
          <w:lang w:val="is-IS"/>
        </w:rPr>
        <w:t>H</w:t>
      </w:r>
      <w:r w:rsidR="00E42EE2" w:rsidRPr="00DC0C7C">
        <w:rPr>
          <w:rFonts w:ascii="Times New Roman" w:hAnsi="Times New Roman" w:cs="Times New Roman"/>
          <w:lang w:val="is-IS"/>
        </w:rPr>
        <w:t xml:space="preserve">ins vegar </w:t>
      </w:r>
      <w:r w:rsidR="0090615D" w:rsidRPr="00DC0C7C">
        <w:rPr>
          <w:rFonts w:ascii="Times New Roman" w:hAnsi="Times New Roman" w:cs="Times New Roman"/>
          <w:lang w:val="is-IS"/>
        </w:rPr>
        <w:t xml:space="preserve">kemur </w:t>
      </w:r>
      <w:r w:rsidR="005040A4" w:rsidRPr="00DC0C7C">
        <w:rPr>
          <w:rFonts w:ascii="Times New Roman" w:hAnsi="Times New Roman" w:cs="Times New Roman"/>
          <w:lang w:val="is-IS"/>
        </w:rPr>
        <w:t>til greina að gera breytingar á ákvæðinu til samræmis við athugasemdir samtakanna með þeim hætti að óháðum aðila væri falið að fara yfir þau gögn sem tilgreind eru í ákvæðinu í stað þess að þau fari beint á aðalverktaka</w:t>
      </w:r>
      <w:r w:rsidR="00E42EE2" w:rsidRPr="00DC0C7C">
        <w:rPr>
          <w:rFonts w:ascii="Times New Roman" w:hAnsi="Times New Roman" w:cs="Times New Roman"/>
          <w:lang w:val="is-IS"/>
        </w:rPr>
        <w:t xml:space="preserve"> sé talið að það geti raskað jafnræði eða samkeppni milli fyrirtækja. </w:t>
      </w:r>
      <w:r w:rsidR="0090615D" w:rsidRPr="00DC0C7C">
        <w:rPr>
          <w:rFonts w:ascii="Times New Roman" w:hAnsi="Times New Roman" w:cs="Times New Roman"/>
          <w:lang w:val="is-IS"/>
        </w:rPr>
        <w:t xml:space="preserve">Á þessu stigi liggur þó ekki fyrir hvaða eða hvers konar aðili gæti hentar til að annast það hlutverk. </w:t>
      </w:r>
    </w:p>
    <w:p w14:paraId="5BA6C2BC" w14:textId="77777777" w:rsidR="00DC0C7C" w:rsidRDefault="00DC0C7C" w:rsidP="00DC0C7C">
      <w:pPr>
        <w:pStyle w:val="Mlsgreinlista"/>
        <w:ind w:left="360"/>
        <w:jc w:val="both"/>
        <w:rPr>
          <w:rFonts w:ascii="Times New Roman" w:hAnsi="Times New Roman" w:cs="Times New Roman"/>
          <w:lang w:val="is-IS"/>
        </w:rPr>
      </w:pPr>
    </w:p>
    <w:p w14:paraId="7C8BBA3E" w14:textId="0232223E" w:rsidR="00686C0B" w:rsidRDefault="0090615D" w:rsidP="00DC0C7C">
      <w:pPr>
        <w:pStyle w:val="Mlsgreinlista"/>
        <w:ind w:left="360"/>
        <w:jc w:val="both"/>
        <w:rPr>
          <w:rFonts w:ascii="Times New Roman" w:hAnsi="Times New Roman" w:cs="Times New Roman"/>
          <w:lang w:val="is-IS"/>
        </w:rPr>
      </w:pPr>
      <w:r>
        <w:rPr>
          <w:rFonts w:ascii="Times New Roman" w:hAnsi="Times New Roman" w:cs="Times New Roman"/>
          <w:lang w:val="is-IS"/>
        </w:rPr>
        <w:t>Breytingar á 103. gr. laganna er varða</w:t>
      </w:r>
      <w:r w:rsidR="00DC0C7C">
        <w:rPr>
          <w:rFonts w:ascii="Times New Roman" w:hAnsi="Times New Roman" w:cs="Times New Roman"/>
          <w:lang w:val="is-IS"/>
        </w:rPr>
        <w:t xml:space="preserve"> </w:t>
      </w:r>
      <w:proofErr w:type="spellStart"/>
      <w:r>
        <w:rPr>
          <w:rFonts w:ascii="Times New Roman" w:hAnsi="Times New Roman" w:cs="Times New Roman"/>
          <w:lang w:val="is-IS"/>
        </w:rPr>
        <w:t>kærunefnd</w:t>
      </w:r>
      <w:proofErr w:type="spellEnd"/>
      <w:r>
        <w:rPr>
          <w:rFonts w:ascii="Times New Roman" w:hAnsi="Times New Roman" w:cs="Times New Roman"/>
          <w:lang w:val="is-IS"/>
        </w:rPr>
        <w:t xml:space="preserve"> </w:t>
      </w:r>
      <w:proofErr w:type="spellStart"/>
      <w:r>
        <w:rPr>
          <w:rFonts w:ascii="Times New Roman" w:hAnsi="Times New Roman" w:cs="Times New Roman"/>
          <w:lang w:val="is-IS"/>
        </w:rPr>
        <w:t>útboðsmála</w:t>
      </w:r>
      <w:proofErr w:type="spellEnd"/>
      <w:r>
        <w:rPr>
          <w:rFonts w:ascii="Times New Roman" w:hAnsi="Times New Roman" w:cs="Times New Roman"/>
          <w:lang w:val="is-IS"/>
        </w:rPr>
        <w:t xml:space="preserve"> </w:t>
      </w:r>
      <w:r w:rsidRPr="0090615D">
        <w:rPr>
          <w:rFonts w:ascii="Times New Roman" w:hAnsi="Times New Roman" w:cs="Times New Roman"/>
          <w:lang w:val="is-IS"/>
        </w:rPr>
        <w:t xml:space="preserve">er tilkomið vegna dóms Landsréttar frá 24. júní 2022, í máli nr. 745/2021, þar sem talið var að nefndin hafi efnt til málsmeðferðar af sjálfsdáðum án tengsla við málatilbúnað kæranda. </w:t>
      </w:r>
      <w:r w:rsidR="00AE3A52">
        <w:rPr>
          <w:rFonts w:ascii="Times New Roman" w:hAnsi="Times New Roman" w:cs="Times New Roman"/>
          <w:lang w:val="is-IS"/>
        </w:rPr>
        <w:t>Í niðurstöðu dómsins (á bls. 28) kemur eftirfarandi fram</w:t>
      </w:r>
      <w:r w:rsidR="00DC0C7C">
        <w:rPr>
          <w:rFonts w:ascii="Times New Roman" w:hAnsi="Times New Roman" w:cs="Times New Roman"/>
          <w:lang w:val="is-IS"/>
        </w:rPr>
        <w:t xml:space="preserve"> er varðar hlutverk og eðli kærunefndarinnar</w:t>
      </w:r>
      <w:r w:rsidR="00AE3A52">
        <w:rPr>
          <w:rFonts w:ascii="Times New Roman" w:hAnsi="Times New Roman" w:cs="Times New Roman"/>
          <w:lang w:val="is-IS"/>
        </w:rPr>
        <w:t xml:space="preserve">: </w:t>
      </w:r>
    </w:p>
    <w:p w14:paraId="3CEACB88" w14:textId="2A5E3E60" w:rsidR="00AE3A52" w:rsidRPr="00686C0B" w:rsidRDefault="00AE3A52" w:rsidP="00DC0C7C">
      <w:pPr>
        <w:spacing w:after="0"/>
        <w:ind w:left="357" w:firstLine="357"/>
        <w:jc w:val="both"/>
        <w:rPr>
          <w:rFonts w:ascii="Times New Roman" w:hAnsi="Times New Roman" w:cs="Times New Roman"/>
          <w:lang w:val="is-IS"/>
        </w:rPr>
      </w:pPr>
      <w:r w:rsidRPr="00AE3A52">
        <w:rPr>
          <w:rFonts w:ascii="Times New Roman" w:hAnsi="Times New Roman" w:cs="Times New Roman"/>
          <w:i/>
          <w:iCs/>
          <w:lang w:val="is-IS"/>
        </w:rPr>
        <w:t>Í þessu samhengi verður að mati dómsins að horfa til þess eðlis kærunefndarinnar að með því að setja hana  á  stofn  hafi  löggjafinn  stefnt  að  því  að  búinn  yrði  til  farvegur  til  að  unnt</w:t>
      </w:r>
      <w:r>
        <w:rPr>
          <w:rFonts w:ascii="Times New Roman" w:hAnsi="Times New Roman" w:cs="Times New Roman"/>
          <w:i/>
          <w:iCs/>
          <w:lang w:val="is-IS"/>
        </w:rPr>
        <w:t xml:space="preserve"> </w:t>
      </w:r>
      <w:r w:rsidRPr="00AE3A52">
        <w:rPr>
          <w:rFonts w:ascii="Times New Roman" w:hAnsi="Times New Roman" w:cs="Times New Roman"/>
          <w:i/>
          <w:iCs/>
          <w:lang w:val="is-IS"/>
        </w:rPr>
        <w:t>væri  að  leysa  skjótt  úr álitaefnum  er  lytu  að  framkvæmd  útboða.  Það  er  enda  almennt  brýnt  fyrir  alla  aðila,  bæði  viðkomandi málsaðila sem og almannahag, að til staðar sé sérhæfður úrskurðaraðili sem býr að sérhæfingu á grundvelli löggjafar sem meðal annars kveður á um skjótvirka málsmeðferð</w:t>
      </w:r>
    </w:p>
    <w:p w14:paraId="4F70857E" w14:textId="29117E98" w:rsidR="00AE3A52" w:rsidRPr="00AE3A52" w:rsidRDefault="00FF3D67" w:rsidP="00DC0C7C">
      <w:pPr>
        <w:spacing w:after="0"/>
        <w:ind w:left="357" w:firstLine="357"/>
        <w:jc w:val="both"/>
        <w:rPr>
          <w:rFonts w:ascii="Times New Roman" w:hAnsi="Times New Roman" w:cs="Times New Roman"/>
          <w:i/>
          <w:iCs/>
          <w:lang w:val="is-IS"/>
        </w:rPr>
      </w:pPr>
      <w:r w:rsidRPr="00AE3A52">
        <w:rPr>
          <w:rFonts w:ascii="Times New Roman" w:hAnsi="Times New Roman" w:cs="Times New Roman"/>
          <w:i/>
          <w:iCs/>
          <w:lang w:val="is-IS"/>
        </w:rPr>
        <w:t xml:space="preserve">Kærunefnd </w:t>
      </w:r>
      <w:proofErr w:type="spellStart"/>
      <w:r w:rsidRPr="00AE3A52">
        <w:rPr>
          <w:rFonts w:ascii="Times New Roman" w:hAnsi="Times New Roman" w:cs="Times New Roman"/>
          <w:i/>
          <w:iCs/>
          <w:lang w:val="is-IS"/>
        </w:rPr>
        <w:t>útboðsmála</w:t>
      </w:r>
      <w:proofErr w:type="spellEnd"/>
      <w:r w:rsidRPr="00AE3A52">
        <w:rPr>
          <w:rFonts w:ascii="Times New Roman" w:hAnsi="Times New Roman" w:cs="Times New Roman"/>
          <w:i/>
          <w:iCs/>
          <w:lang w:val="is-IS"/>
        </w:rPr>
        <w:t xml:space="preserve"> er ekki í hlutverki æðra úrskurðarvalds sem leysir úr réttarágreiningi sem orðið hefur vegna ákvarðana eða úrskurða lægra settra stjórnvalda. Miklu fremur er kærunefndin úrskurðaraðili sem  leysir  úr  málum  á  sérhæfðu  afmörkuðu  réttarsviði  en  fjallar  ekki  um  álitamál  innan  opinberrar stjórnsýslu. Nefndinni er svo að auki markaður annar grunnur en stjórnsýslunni almennt með sérhæfðum ákvæðum um málsmeðferð sem sérsniðin eru að þessu réttarsviði. Af þessum sökum reynir ekki með sama hætti  á  almennar  málsmeðferðarreglur  stjórnsýsluréttarins,  eins  og  til  dæmis  rannsóknarregluna, sem fræðimenn á sviði stjórnsýsluréttar hafa nefnt hryggjarstykkið í svonefndum öryggisreglum sem hafa það hlutverk að tryggja að</w:t>
      </w:r>
      <w:r w:rsidR="00AE3A52">
        <w:rPr>
          <w:rFonts w:ascii="Times New Roman" w:hAnsi="Times New Roman" w:cs="Times New Roman"/>
          <w:i/>
          <w:iCs/>
          <w:lang w:val="is-IS"/>
        </w:rPr>
        <w:t xml:space="preserve"> </w:t>
      </w:r>
      <w:r w:rsidRPr="00AE3A52">
        <w:rPr>
          <w:rFonts w:ascii="Times New Roman" w:hAnsi="Times New Roman" w:cs="Times New Roman"/>
          <w:i/>
          <w:iCs/>
          <w:lang w:val="is-IS"/>
        </w:rPr>
        <w:t xml:space="preserve">ákvarðanir stjórnvalda séu bæði réttar og löglegar. Vegna framangreindra ákvæða laga um opinber innkaup, einkum 106. og 108. gr. laganna um forræði málsaðila á því að kæra mál og á hvaða  grunni  það  er  gert  og  til  hvaða  úrræða  málsaðili  geti  krafist  að  kærunefndin  grípi,  má  segja  að málsmeðferð  fyrir  nefndinni  svipi  í  raun  meira til málsmeðferðar í einkamálum fyrir dómstólum en endranær í málsmeðferð í  stjórnsýslumálum,  að  breyttu  </w:t>
      </w:r>
      <w:proofErr w:type="spellStart"/>
      <w:r w:rsidRPr="00AE3A52">
        <w:rPr>
          <w:rFonts w:ascii="Times New Roman" w:hAnsi="Times New Roman" w:cs="Times New Roman"/>
          <w:i/>
          <w:iCs/>
          <w:lang w:val="is-IS"/>
        </w:rPr>
        <w:t>breytanda</w:t>
      </w:r>
      <w:proofErr w:type="spellEnd"/>
      <w:r w:rsidRPr="00AE3A52">
        <w:rPr>
          <w:rFonts w:ascii="Times New Roman" w:hAnsi="Times New Roman" w:cs="Times New Roman"/>
          <w:i/>
          <w:iCs/>
          <w:lang w:val="is-IS"/>
        </w:rPr>
        <w:t xml:space="preserve">. Má  segja  að  hér  sé  öndvert  upp  á teningnum  við  það  sem  á  við  í  hefðbundinni  stjórnsýslumeðferð  mála  þar  sem  málsmeðferðarreglur stjórnsýsluréttarins  gilda  fullum  fetum  og  eru  það  sem  skilur  á  milli  málsmeðferðar  stjórnvalda  og málsmeðferðar í almennum einkamálum fyrir dómstólum. Sökum þessa </w:t>
      </w:r>
      <w:proofErr w:type="spellStart"/>
      <w:r w:rsidRPr="00AE3A52">
        <w:rPr>
          <w:rFonts w:ascii="Times New Roman" w:hAnsi="Times New Roman" w:cs="Times New Roman"/>
          <w:i/>
          <w:iCs/>
          <w:lang w:val="is-IS"/>
        </w:rPr>
        <w:t>skilsmunar</w:t>
      </w:r>
      <w:proofErr w:type="spellEnd"/>
      <w:r w:rsidRPr="00AE3A52">
        <w:rPr>
          <w:rFonts w:ascii="Times New Roman" w:hAnsi="Times New Roman" w:cs="Times New Roman"/>
          <w:i/>
          <w:iCs/>
          <w:lang w:val="is-IS"/>
        </w:rPr>
        <w:t xml:space="preserve"> marka dómar eins og til dæmis dómur Hæstaréttar í máli nr. 458/2002 frá 14. nóvember 2002, sem vitnað hefur verið til í málinu, ekki fordæmi við úrlausn máls þessa.</w:t>
      </w:r>
    </w:p>
    <w:p w14:paraId="1351F65B" w14:textId="180A95F3" w:rsidR="00AE3A52" w:rsidRPr="00AE3A52" w:rsidRDefault="00AE3A52" w:rsidP="00DC0C7C">
      <w:pPr>
        <w:spacing w:after="0"/>
        <w:ind w:left="360" w:firstLine="360"/>
        <w:jc w:val="both"/>
        <w:rPr>
          <w:rFonts w:ascii="Times New Roman" w:hAnsi="Times New Roman" w:cs="Times New Roman"/>
          <w:i/>
          <w:iCs/>
          <w:lang w:val="is-IS"/>
        </w:rPr>
      </w:pPr>
      <w:r w:rsidRPr="00AE3A52">
        <w:rPr>
          <w:rFonts w:ascii="Times New Roman" w:hAnsi="Times New Roman" w:cs="Times New Roman"/>
          <w:i/>
          <w:iCs/>
          <w:lang w:val="is-IS"/>
        </w:rPr>
        <w:t>Að þessu sögðu áréttast að því er sérstaklega slegið föstu í 7. mgr. 108. gr. laga um opinber innkaup að um  meðferð  kærumála  fyrir  nefndinni  fari  að  öðru  leyti  eftir  stjórnsýslulögum.  Þannig ber að beita málsmeðferðarreglum stjórnsýsluréttar til</w:t>
      </w:r>
      <w:r>
        <w:rPr>
          <w:rFonts w:ascii="Times New Roman" w:hAnsi="Times New Roman" w:cs="Times New Roman"/>
          <w:i/>
          <w:iCs/>
          <w:lang w:val="is-IS"/>
        </w:rPr>
        <w:t xml:space="preserve"> </w:t>
      </w:r>
      <w:r w:rsidRPr="00AE3A52">
        <w:rPr>
          <w:rFonts w:ascii="Times New Roman" w:hAnsi="Times New Roman" w:cs="Times New Roman"/>
          <w:i/>
          <w:iCs/>
          <w:lang w:val="is-IS"/>
        </w:rPr>
        <w:t>dæmis</w:t>
      </w:r>
      <w:r>
        <w:rPr>
          <w:rFonts w:ascii="Times New Roman" w:hAnsi="Times New Roman" w:cs="Times New Roman"/>
          <w:i/>
          <w:iCs/>
          <w:lang w:val="is-IS"/>
        </w:rPr>
        <w:t xml:space="preserve"> </w:t>
      </w:r>
      <w:r w:rsidRPr="00AE3A52">
        <w:rPr>
          <w:rFonts w:ascii="Times New Roman" w:hAnsi="Times New Roman" w:cs="Times New Roman"/>
          <w:i/>
          <w:iCs/>
          <w:lang w:val="is-IS"/>
        </w:rPr>
        <w:t>rannsóknarreglunni,     jafnræðisreglunni og meðalhófsreglunni, en þó að gættum fyrrnefndum ákvæðum laga um opinber innkaup sem gilda sem sérlög gagnvart stjórnsýslulögunum, eins og áréttað er í 7. mgr. 8. gr. Kæra og kröfugerð</w:t>
      </w:r>
      <w:r>
        <w:rPr>
          <w:rFonts w:ascii="Times New Roman" w:hAnsi="Times New Roman" w:cs="Times New Roman"/>
          <w:i/>
          <w:iCs/>
          <w:lang w:val="is-IS"/>
        </w:rPr>
        <w:t xml:space="preserve"> </w:t>
      </w:r>
      <w:r w:rsidRPr="00AE3A52">
        <w:rPr>
          <w:rFonts w:ascii="Times New Roman" w:hAnsi="Times New Roman" w:cs="Times New Roman"/>
          <w:i/>
          <w:iCs/>
          <w:lang w:val="is-IS"/>
        </w:rPr>
        <w:t>[...]</w:t>
      </w:r>
      <w:r>
        <w:rPr>
          <w:rFonts w:ascii="Times New Roman" w:hAnsi="Times New Roman" w:cs="Times New Roman"/>
          <w:i/>
          <w:iCs/>
          <w:lang w:val="is-IS"/>
        </w:rPr>
        <w:t xml:space="preserve"> k</w:t>
      </w:r>
      <w:r w:rsidRPr="00AE3A52">
        <w:rPr>
          <w:rFonts w:ascii="Times New Roman" w:hAnsi="Times New Roman" w:cs="Times New Roman"/>
          <w:i/>
          <w:iCs/>
          <w:lang w:val="is-IS"/>
        </w:rPr>
        <w:t>æranda, markar þannig umgjörð þessa máls sem til úrlausnar er</w:t>
      </w:r>
      <w:r>
        <w:rPr>
          <w:rFonts w:ascii="Times New Roman" w:hAnsi="Times New Roman" w:cs="Times New Roman"/>
          <w:i/>
          <w:iCs/>
          <w:lang w:val="is-IS"/>
        </w:rPr>
        <w:t>.</w:t>
      </w:r>
    </w:p>
    <w:p w14:paraId="11743AE2" w14:textId="77777777" w:rsidR="00AE3A52" w:rsidRDefault="00AE3A52" w:rsidP="00AE3A52">
      <w:pPr>
        <w:spacing w:after="0"/>
        <w:jc w:val="both"/>
        <w:rPr>
          <w:rFonts w:ascii="Times New Roman" w:hAnsi="Times New Roman" w:cs="Times New Roman"/>
          <w:lang w:val="is-IS"/>
        </w:rPr>
      </w:pPr>
    </w:p>
    <w:p w14:paraId="740922D9" w14:textId="77777777" w:rsidR="00DC0C7C" w:rsidRDefault="00AE3A52" w:rsidP="00DC0C7C">
      <w:pPr>
        <w:spacing w:after="0"/>
        <w:ind w:left="360"/>
        <w:jc w:val="both"/>
        <w:rPr>
          <w:rFonts w:ascii="Times New Roman" w:hAnsi="Times New Roman" w:cs="Times New Roman"/>
          <w:lang w:val="is-IS"/>
        </w:rPr>
      </w:pPr>
      <w:r>
        <w:rPr>
          <w:rFonts w:ascii="Times New Roman" w:hAnsi="Times New Roman" w:cs="Times New Roman"/>
          <w:lang w:val="is-IS"/>
        </w:rPr>
        <w:t xml:space="preserve">Í samræmi við ofangreint eru takmarkanir fyrir því hversu langt </w:t>
      </w:r>
      <w:proofErr w:type="spellStart"/>
      <w:r>
        <w:rPr>
          <w:rFonts w:ascii="Times New Roman" w:hAnsi="Times New Roman" w:cs="Times New Roman"/>
          <w:lang w:val="is-IS"/>
        </w:rPr>
        <w:t>kærunefnd</w:t>
      </w:r>
      <w:proofErr w:type="spellEnd"/>
      <w:r>
        <w:rPr>
          <w:rFonts w:ascii="Times New Roman" w:hAnsi="Times New Roman" w:cs="Times New Roman"/>
          <w:lang w:val="is-IS"/>
        </w:rPr>
        <w:t xml:space="preserve"> </w:t>
      </w:r>
      <w:proofErr w:type="spellStart"/>
      <w:r>
        <w:rPr>
          <w:rFonts w:ascii="Times New Roman" w:hAnsi="Times New Roman" w:cs="Times New Roman"/>
          <w:lang w:val="is-IS"/>
        </w:rPr>
        <w:t>útboðsmála</w:t>
      </w:r>
      <w:proofErr w:type="spellEnd"/>
      <w:r>
        <w:rPr>
          <w:rFonts w:ascii="Times New Roman" w:hAnsi="Times New Roman" w:cs="Times New Roman"/>
          <w:lang w:val="is-IS"/>
        </w:rPr>
        <w:t xml:space="preserve"> getur gengið í því að upplýsa um mál fyrir nefndinni fari það út fyrir það kæruefni sem lagt hefur verið fyrir hana. </w:t>
      </w:r>
    </w:p>
    <w:p w14:paraId="6FC9D9FC" w14:textId="77777777" w:rsidR="00DC0C7C" w:rsidRDefault="00DC0C7C" w:rsidP="00DC0C7C">
      <w:pPr>
        <w:spacing w:after="0"/>
        <w:ind w:left="360"/>
        <w:jc w:val="both"/>
        <w:rPr>
          <w:rFonts w:ascii="Times New Roman" w:hAnsi="Times New Roman" w:cs="Times New Roman"/>
          <w:lang w:val="is-IS"/>
        </w:rPr>
      </w:pPr>
    </w:p>
    <w:p w14:paraId="5BBAF55A" w14:textId="51DE6CC5" w:rsidR="00DC0C7C" w:rsidRPr="00DC0C7C" w:rsidRDefault="00DC0C7C" w:rsidP="00DC0C7C">
      <w:pPr>
        <w:spacing w:after="0"/>
        <w:ind w:left="360"/>
        <w:jc w:val="both"/>
        <w:rPr>
          <w:rFonts w:ascii="Times New Roman" w:hAnsi="Times New Roman" w:cs="Times New Roman"/>
          <w:lang w:val="is-IS"/>
        </w:rPr>
      </w:pPr>
      <w:r>
        <w:rPr>
          <w:rFonts w:ascii="Times New Roman" w:hAnsi="Times New Roman" w:cs="Times New Roman"/>
          <w:lang w:val="is-IS"/>
        </w:rPr>
        <w:t xml:space="preserve">Í umsögn samtakanna kemur að </w:t>
      </w:r>
      <w:r w:rsidRPr="00DC0C7C">
        <w:rPr>
          <w:rFonts w:ascii="Times New Roman" w:hAnsi="Times New Roman" w:cs="Times New Roman"/>
          <w:lang w:val="is-IS"/>
        </w:rPr>
        <w:t xml:space="preserve">lokum fram að samtökin líti á sameiningu Ríkiskaupa við Fjársýsluna sem jákvætt skref en hins vegar sé mikilvægt að komið verði á fót samráðsvettvangi opinberra verkkaupa til einfalda samtalið um bætt starfsumhverfi og innleiðingu góðra útboðsvenja </w:t>
      </w:r>
      <w:r w:rsidRPr="00DC0C7C">
        <w:rPr>
          <w:rFonts w:ascii="Times New Roman" w:hAnsi="Times New Roman" w:cs="Times New Roman"/>
          <w:lang w:val="is-IS"/>
        </w:rPr>
        <w:lastRenderedPageBreak/>
        <w:t>til að tryggja samræmt verklag.</w:t>
      </w:r>
      <w:r>
        <w:rPr>
          <w:rFonts w:ascii="Times New Roman" w:hAnsi="Times New Roman" w:cs="Times New Roman"/>
          <w:lang w:val="is-IS"/>
        </w:rPr>
        <w:t xml:space="preserve"> </w:t>
      </w:r>
      <w:r w:rsidRPr="00DC0C7C">
        <w:rPr>
          <w:rFonts w:ascii="Times New Roman" w:hAnsi="Times New Roman" w:cs="Times New Roman"/>
          <w:lang w:val="is-IS"/>
        </w:rPr>
        <w:t xml:space="preserve">Tekið er jákvætt í hugmyndir um samtal um góðar útboðsvenjur og lærdóm milli opinberra verkkaupa og verksala og verður tekið tillit til þessarar ábendingar í mótun nýrrar aðgerðaráætlunar sjálfbærra innkaupa sem birt verður á árinu. Mótun slíkrar aðgerðar mun fara í nánara samráð áður en aðgerðaráætlunin verður birt. </w:t>
      </w:r>
    </w:p>
    <w:p w14:paraId="542478FF" w14:textId="77777777" w:rsidR="00686C0B" w:rsidRDefault="00686C0B" w:rsidP="00D40272">
      <w:pPr>
        <w:jc w:val="both"/>
        <w:rPr>
          <w:rFonts w:ascii="Times New Roman" w:hAnsi="Times New Roman" w:cs="Times New Roman"/>
          <w:lang w:val="is-IS"/>
        </w:rPr>
      </w:pPr>
    </w:p>
    <w:p w14:paraId="1FFF6708" w14:textId="77777777" w:rsidR="005040A4" w:rsidRPr="00D40272" w:rsidRDefault="005040A4" w:rsidP="00D40272">
      <w:pPr>
        <w:jc w:val="both"/>
        <w:rPr>
          <w:rFonts w:ascii="Times New Roman" w:hAnsi="Times New Roman" w:cs="Times New Roman"/>
          <w:lang w:val="is-IS"/>
        </w:rPr>
      </w:pPr>
    </w:p>
    <w:sectPr w:rsidR="005040A4" w:rsidRPr="00D40272" w:rsidSect="006C46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iraGO Light">
    <w:panose1 w:val="020B0403050000020004"/>
    <w:charset w:val="00"/>
    <w:family w:val="swiss"/>
    <w:notTrueType/>
    <w:pitch w:val="variable"/>
    <w:sig w:usb0="21002A87" w:usb1="00000000" w:usb2="00000000"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627F2B"/>
    <w:multiLevelType w:val="hybridMultilevel"/>
    <w:tmpl w:val="7C1225A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527F090D"/>
    <w:multiLevelType w:val="hybridMultilevel"/>
    <w:tmpl w:val="BE8EBEB0"/>
    <w:lvl w:ilvl="0" w:tplc="1000000F">
      <w:start w:val="1"/>
      <w:numFmt w:val="decimal"/>
      <w:lvlText w:val="%1."/>
      <w:lvlJc w:val="left"/>
      <w:pPr>
        <w:ind w:left="360" w:hanging="360"/>
      </w:pPr>
      <w:rPr>
        <w:rFonts w:hint="default"/>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74522E44"/>
    <w:multiLevelType w:val="hybridMultilevel"/>
    <w:tmpl w:val="A1280A9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74"/>
    <w:rsid w:val="00012F30"/>
    <w:rsid w:val="00076FFE"/>
    <w:rsid w:val="000F76BB"/>
    <w:rsid w:val="001E779A"/>
    <w:rsid w:val="00234DE5"/>
    <w:rsid w:val="002A3BD8"/>
    <w:rsid w:val="002C4D12"/>
    <w:rsid w:val="003378BE"/>
    <w:rsid w:val="00342AD5"/>
    <w:rsid w:val="00342D91"/>
    <w:rsid w:val="0040555A"/>
    <w:rsid w:val="005040A4"/>
    <w:rsid w:val="005074F6"/>
    <w:rsid w:val="005A5559"/>
    <w:rsid w:val="005C1B90"/>
    <w:rsid w:val="00602920"/>
    <w:rsid w:val="00686C0B"/>
    <w:rsid w:val="006B7F6A"/>
    <w:rsid w:val="006C4693"/>
    <w:rsid w:val="007A6A74"/>
    <w:rsid w:val="00857FF2"/>
    <w:rsid w:val="0090615D"/>
    <w:rsid w:val="00976B3C"/>
    <w:rsid w:val="009D6ECF"/>
    <w:rsid w:val="00A770D5"/>
    <w:rsid w:val="00AE3A52"/>
    <w:rsid w:val="00B43988"/>
    <w:rsid w:val="00B45D95"/>
    <w:rsid w:val="00B60B59"/>
    <w:rsid w:val="00C85FAD"/>
    <w:rsid w:val="00CB0E2D"/>
    <w:rsid w:val="00D26362"/>
    <w:rsid w:val="00D26E4A"/>
    <w:rsid w:val="00D40272"/>
    <w:rsid w:val="00DA1594"/>
    <w:rsid w:val="00DC0C7C"/>
    <w:rsid w:val="00E42EE2"/>
    <w:rsid w:val="00EF1ECE"/>
    <w:rsid w:val="00F21125"/>
    <w:rsid w:val="00FE54DD"/>
    <w:rsid w:val="00FF3D67"/>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062C"/>
  <w15:chartTrackingRefBased/>
  <w15:docId w15:val="{E46C9A7A-8780-4E56-9135-4BB31395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Blrutexti">
    <w:name w:val="Balloon Text"/>
    <w:basedOn w:val="Venjulegur"/>
    <w:link w:val="BlrutextiStaf"/>
    <w:uiPriority w:val="99"/>
    <w:semiHidden/>
    <w:unhideWhenUsed/>
    <w:rsid w:val="007A6A74"/>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7A6A74"/>
    <w:rPr>
      <w:rFonts w:ascii="Segoe UI" w:hAnsi="Segoe UI" w:cs="Segoe UI"/>
      <w:sz w:val="18"/>
      <w:szCs w:val="18"/>
    </w:rPr>
  </w:style>
  <w:style w:type="paragraph" w:styleId="Mlsgreinlista">
    <w:name w:val="List Paragraph"/>
    <w:basedOn w:val="Venjulegur"/>
    <w:uiPriority w:val="34"/>
    <w:qFormat/>
    <w:rsid w:val="00DA1594"/>
    <w:pPr>
      <w:ind w:left="720"/>
      <w:contextualSpacing/>
    </w:pPr>
  </w:style>
  <w:style w:type="character" w:styleId="Tilvsunathugasemd">
    <w:name w:val="annotation reference"/>
    <w:basedOn w:val="Sjlfgefinleturgermlsgreinar"/>
    <w:uiPriority w:val="99"/>
    <w:semiHidden/>
    <w:unhideWhenUsed/>
    <w:rsid w:val="005040A4"/>
    <w:rPr>
      <w:sz w:val="16"/>
      <w:szCs w:val="16"/>
    </w:rPr>
  </w:style>
  <w:style w:type="paragraph" w:styleId="Textiathugasemdar">
    <w:name w:val="annotation text"/>
    <w:basedOn w:val="Venjulegur"/>
    <w:link w:val="TextiathugasemdarStaf"/>
    <w:uiPriority w:val="99"/>
    <w:semiHidden/>
    <w:unhideWhenUsed/>
    <w:rsid w:val="005040A4"/>
    <w:pPr>
      <w:spacing w:line="240" w:lineRule="auto"/>
    </w:pPr>
    <w:rPr>
      <w:sz w:val="20"/>
      <w:szCs w:val="20"/>
    </w:rPr>
  </w:style>
  <w:style w:type="character" w:customStyle="1" w:styleId="TextiathugasemdarStaf">
    <w:name w:val="Texti athugasemdar Staf"/>
    <w:basedOn w:val="Sjlfgefinleturgermlsgreinar"/>
    <w:link w:val="Textiathugasemdar"/>
    <w:uiPriority w:val="99"/>
    <w:semiHidden/>
    <w:rsid w:val="005040A4"/>
    <w:rPr>
      <w:sz w:val="20"/>
      <w:szCs w:val="20"/>
    </w:rPr>
  </w:style>
  <w:style w:type="paragraph" w:styleId="Efniathugasemdar">
    <w:name w:val="annotation subject"/>
    <w:basedOn w:val="Textiathugasemdar"/>
    <w:next w:val="Textiathugasemdar"/>
    <w:link w:val="EfniathugasemdarStaf"/>
    <w:uiPriority w:val="99"/>
    <w:semiHidden/>
    <w:unhideWhenUsed/>
    <w:rsid w:val="005040A4"/>
    <w:rPr>
      <w:b/>
      <w:bCs/>
    </w:rPr>
  </w:style>
  <w:style w:type="character" w:customStyle="1" w:styleId="EfniathugasemdarStaf">
    <w:name w:val="Efni athugasemdar Staf"/>
    <w:basedOn w:val="TextiathugasemdarStaf"/>
    <w:link w:val="Efniathugasemdar"/>
    <w:uiPriority w:val="99"/>
    <w:semiHidden/>
    <w:rsid w:val="005040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213758">
      <w:bodyDiv w:val="1"/>
      <w:marLeft w:val="0"/>
      <w:marRight w:val="0"/>
      <w:marTop w:val="0"/>
      <w:marBottom w:val="0"/>
      <w:divBdr>
        <w:top w:val="none" w:sz="0" w:space="0" w:color="auto"/>
        <w:left w:val="none" w:sz="0" w:space="0" w:color="auto"/>
        <w:bottom w:val="none" w:sz="0" w:space="0" w:color="auto"/>
        <w:right w:val="none" w:sz="0" w:space="0" w:color="auto"/>
      </w:divBdr>
      <w:divsChild>
        <w:div w:id="866218736">
          <w:marLeft w:val="0"/>
          <w:marRight w:val="0"/>
          <w:marTop w:val="0"/>
          <w:marBottom w:val="0"/>
          <w:divBdr>
            <w:top w:val="none" w:sz="0" w:space="0" w:color="auto"/>
            <w:left w:val="none" w:sz="0" w:space="0" w:color="auto"/>
            <w:bottom w:val="none" w:sz="0" w:space="0" w:color="auto"/>
            <w:right w:val="none" w:sz="0" w:space="0" w:color="auto"/>
          </w:divBdr>
        </w:div>
        <w:div w:id="2032340695">
          <w:marLeft w:val="0"/>
          <w:marRight w:val="0"/>
          <w:marTop w:val="0"/>
          <w:marBottom w:val="0"/>
          <w:divBdr>
            <w:top w:val="none" w:sz="0" w:space="0" w:color="auto"/>
            <w:left w:val="none" w:sz="0" w:space="0" w:color="auto"/>
            <w:bottom w:val="none" w:sz="0" w:space="0" w:color="auto"/>
            <w:right w:val="none" w:sz="0" w:space="0" w:color="auto"/>
          </w:divBdr>
        </w:div>
        <w:div w:id="1632899981">
          <w:marLeft w:val="0"/>
          <w:marRight w:val="0"/>
          <w:marTop w:val="0"/>
          <w:marBottom w:val="0"/>
          <w:divBdr>
            <w:top w:val="none" w:sz="0" w:space="0" w:color="auto"/>
            <w:left w:val="none" w:sz="0" w:space="0" w:color="auto"/>
            <w:bottom w:val="none" w:sz="0" w:space="0" w:color="auto"/>
            <w:right w:val="none" w:sz="0" w:space="0" w:color="auto"/>
          </w:divBdr>
        </w:div>
        <w:div w:id="491067700">
          <w:marLeft w:val="0"/>
          <w:marRight w:val="0"/>
          <w:marTop w:val="0"/>
          <w:marBottom w:val="0"/>
          <w:divBdr>
            <w:top w:val="none" w:sz="0" w:space="0" w:color="auto"/>
            <w:left w:val="none" w:sz="0" w:space="0" w:color="auto"/>
            <w:bottom w:val="none" w:sz="0" w:space="0" w:color="auto"/>
            <w:right w:val="none" w:sz="0" w:space="0" w:color="auto"/>
          </w:divBdr>
        </w:div>
        <w:div w:id="1975063268">
          <w:marLeft w:val="0"/>
          <w:marRight w:val="0"/>
          <w:marTop w:val="0"/>
          <w:marBottom w:val="0"/>
          <w:divBdr>
            <w:top w:val="none" w:sz="0" w:space="0" w:color="auto"/>
            <w:left w:val="none" w:sz="0" w:space="0" w:color="auto"/>
            <w:bottom w:val="none" w:sz="0" w:space="0" w:color="auto"/>
            <w:right w:val="none" w:sz="0" w:space="0" w:color="auto"/>
          </w:divBdr>
        </w:div>
        <w:div w:id="870150165">
          <w:marLeft w:val="0"/>
          <w:marRight w:val="0"/>
          <w:marTop w:val="0"/>
          <w:marBottom w:val="0"/>
          <w:divBdr>
            <w:top w:val="none" w:sz="0" w:space="0" w:color="auto"/>
            <w:left w:val="none" w:sz="0" w:space="0" w:color="auto"/>
            <w:bottom w:val="none" w:sz="0" w:space="0" w:color="auto"/>
            <w:right w:val="none" w:sz="0" w:space="0" w:color="auto"/>
          </w:divBdr>
        </w:div>
        <w:div w:id="2085452010">
          <w:marLeft w:val="0"/>
          <w:marRight w:val="0"/>
          <w:marTop w:val="0"/>
          <w:marBottom w:val="0"/>
          <w:divBdr>
            <w:top w:val="none" w:sz="0" w:space="0" w:color="auto"/>
            <w:left w:val="none" w:sz="0" w:space="0" w:color="auto"/>
            <w:bottom w:val="none" w:sz="0" w:space="0" w:color="auto"/>
            <w:right w:val="none" w:sz="0" w:space="0" w:color="auto"/>
          </w:divBdr>
        </w:div>
        <w:div w:id="1330136052">
          <w:marLeft w:val="0"/>
          <w:marRight w:val="0"/>
          <w:marTop w:val="0"/>
          <w:marBottom w:val="0"/>
          <w:divBdr>
            <w:top w:val="none" w:sz="0" w:space="0" w:color="auto"/>
            <w:left w:val="none" w:sz="0" w:space="0" w:color="auto"/>
            <w:bottom w:val="none" w:sz="0" w:space="0" w:color="auto"/>
            <w:right w:val="none" w:sz="0" w:space="0" w:color="auto"/>
          </w:divBdr>
        </w:div>
        <w:div w:id="1941908520">
          <w:marLeft w:val="0"/>
          <w:marRight w:val="0"/>
          <w:marTop w:val="0"/>
          <w:marBottom w:val="0"/>
          <w:divBdr>
            <w:top w:val="none" w:sz="0" w:space="0" w:color="auto"/>
            <w:left w:val="none" w:sz="0" w:space="0" w:color="auto"/>
            <w:bottom w:val="none" w:sz="0" w:space="0" w:color="auto"/>
            <w:right w:val="none" w:sz="0" w:space="0" w:color="auto"/>
          </w:divBdr>
        </w:div>
      </w:divsChild>
    </w:div>
    <w:div w:id="678697382">
      <w:bodyDiv w:val="1"/>
      <w:marLeft w:val="0"/>
      <w:marRight w:val="0"/>
      <w:marTop w:val="0"/>
      <w:marBottom w:val="0"/>
      <w:divBdr>
        <w:top w:val="none" w:sz="0" w:space="0" w:color="auto"/>
        <w:left w:val="none" w:sz="0" w:space="0" w:color="auto"/>
        <w:bottom w:val="none" w:sz="0" w:space="0" w:color="auto"/>
        <w:right w:val="none" w:sz="0" w:space="0" w:color="auto"/>
      </w:divBdr>
    </w:div>
    <w:div w:id="2096632024">
      <w:bodyDiv w:val="1"/>
      <w:marLeft w:val="0"/>
      <w:marRight w:val="0"/>
      <w:marTop w:val="0"/>
      <w:marBottom w:val="0"/>
      <w:divBdr>
        <w:top w:val="none" w:sz="0" w:space="0" w:color="auto"/>
        <w:left w:val="none" w:sz="0" w:space="0" w:color="auto"/>
        <w:bottom w:val="none" w:sz="0" w:space="0" w:color="auto"/>
        <w:right w:val="none" w:sz="0" w:space="0" w:color="auto"/>
      </w:divBdr>
      <w:divsChild>
        <w:div w:id="690299745">
          <w:marLeft w:val="0"/>
          <w:marRight w:val="0"/>
          <w:marTop w:val="0"/>
          <w:marBottom w:val="0"/>
          <w:divBdr>
            <w:top w:val="none" w:sz="0" w:space="0" w:color="auto"/>
            <w:left w:val="none" w:sz="0" w:space="0" w:color="auto"/>
            <w:bottom w:val="none" w:sz="0" w:space="0" w:color="auto"/>
            <w:right w:val="none" w:sz="0" w:space="0" w:color="auto"/>
          </w:divBdr>
        </w:div>
        <w:div w:id="1179926518">
          <w:marLeft w:val="0"/>
          <w:marRight w:val="0"/>
          <w:marTop w:val="0"/>
          <w:marBottom w:val="0"/>
          <w:divBdr>
            <w:top w:val="none" w:sz="0" w:space="0" w:color="auto"/>
            <w:left w:val="none" w:sz="0" w:space="0" w:color="auto"/>
            <w:bottom w:val="none" w:sz="0" w:space="0" w:color="auto"/>
            <w:right w:val="none" w:sz="0" w:space="0" w:color="auto"/>
          </w:divBdr>
        </w:div>
        <w:div w:id="1676105810">
          <w:marLeft w:val="0"/>
          <w:marRight w:val="0"/>
          <w:marTop w:val="0"/>
          <w:marBottom w:val="0"/>
          <w:divBdr>
            <w:top w:val="none" w:sz="0" w:space="0" w:color="auto"/>
            <w:left w:val="none" w:sz="0" w:space="0" w:color="auto"/>
            <w:bottom w:val="none" w:sz="0" w:space="0" w:color="auto"/>
            <w:right w:val="none" w:sz="0" w:space="0" w:color="auto"/>
          </w:divBdr>
        </w:div>
        <w:div w:id="1596551681">
          <w:marLeft w:val="0"/>
          <w:marRight w:val="0"/>
          <w:marTop w:val="0"/>
          <w:marBottom w:val="0"/>
          <w:divBdr>
            <w:top w:val="none" w:sz="0" w:space="0" w:color="auto"/>
            <w:left w:val="none" w:sz="0" w:space="0" w:color="auto"/>
            <w:bottom w:val="none" w:sz="0" w:space="0" w:color="auto"/>
            <w:right w:val="none" w:sz="0" w:space="0" w:color="auto"/>
          </w:divBdr>
        </w:div>
        <w:div w:id="811606199">
          <w:marLeft w:val="0"/>
          <w:marRight w:val="0"/>
          <w:marTop w:val="0"/>
          <w:marBottom w:val="0"/>
          <w:divBdr>
            <w:top w:val="none" w:sz="0" w:space="0" w:color="auto"/>
            <w:left w:val="none" w:sz="0" w:space="0" w:color="auto"/>
            <w:bottom w:val="none" w:sz="0" w:space="0" w:color="auto"/>
            <w:right w:val="none" w:sz="0" w:space="0" w:color="auto"/>
          </w:divBdr>
        </w:div>
        <w:div w:id="624195237">
          <w:marLeft w:val="0"/>
          <w:marRight w:val="0"/>
          <w:marTop w:val="0"/>
          <w:marBottom w:val="0"/>
          <w:divBdr>
            <w:top w:val="none" w:sz="0" w:space="0" w:color="auto"/>
            <w:left w:val="none" w:sz="0" w:space="0" w:color="auto"/>
            <w:bottom w:val="none" w:sz="0" w:space="0" w:color="auto"/>
            <w:right w:val="none" w:sz="0" w:space="0" w:color="auto"/>
          </w:divBdr>
        </w:div>
        <w:div w:id="858543103">
          <w:marLeft w:val="0"/>
          <w:marRight w:val="0"/>
          <w:marTop w:val="0"/>
          <w:marBottom w:val="0"/>
          <w:divBdr>
            <w:top w:val="none" w:sz="0" w:space="0" w:color="auto"/>
            <w:left w:val="none" w:sz="0" w:space="0" w:color="auto"/>
            <w:bottom w:val="none" w:sz="0" w:space="0" w:color="auto"/>
            <w:right w:val="none" w:sz="0" w:space="0" w:color="auto"/>
          </w:divBdr>
        </w:div>
        <w:div w:id="1975870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5</Pages>
  <Words>2689</Words>
  <Characters>15333</Characters>
  <Application>Microsoft Office Word</Application>
  <DocSecurity>0</DocSecurity>
  <Lines>127</Lines>
  <Paragraphs>35</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Hrafn Hlynsson</dc:creator>
  <cp:keywords/>
  <dc:description/>
  <cp:lastModifiedBy>Hrafn Hlynsson</cp:lastModifiedBy>
  <cp:revision>6</cp:revision>
  <dcterms:created xsi:type="dcterms:W3CDTF">2024-03-18T14:26:00Z</dcterms:created>
  <dcterms:modified xsi:type="dcterms:W3CDTF">2024-03-21T15:44:00Z</dcterms:modified>
</cp:coreProperties>
</file>