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Fylgiskjal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I.</w:t>
      </w:r>
    </w:p>
    <w:p w:rsidR="00297CC4" w:rsidRPr="00297CC4" w:rsidRDefault="00297CC4" w:rsidP="00297CC4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97CC4">
        <w:rPr>
          <w:rFonts w:ascii="Times New Roman" w:hAnsi="Times New Roman" w:cs="Times New Roman"/>
          <w:b/>
          <w:bCs/>
          <w:sz w:val="21"/>
          <w:szCs w:val="21"/>
        </w:rPr>
        <w:t>SAMNINGUR</w:t>
      </w:r>
    </w:p>
    <w:p w:rsidR="00297CC4" w:rsidRPr="00297CC4" w:rsidRDefault="00297CC4" w:rsidP="00297CC4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97CC4">
        <w:rPr>
          <w:rFonts w:ascii="Times New Roman" w:hAnsi="Times New Roman" w:cs="Times New Roman"/>
          <w:b/>
          <w:bCs/>
          <w:sz w:val="21"/>
          <w:szCs w:val="21"/>
        </w:rPr>
        <w:t>UM SAMRÆMINGU TILTEKINNA REGLNA</w:t>
      </w:r>
    </w:p>
    <w:p w:rsidR="00297CC4" w:rsidRPr="00297CC4" w:rsidRDefault="00297CC4" w:rsidP="00297CC4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97CC4">
        <w:rPr>
          <w:rFonts w:ascii="Times New Roman" w:hAnsi="Times New Roman" w:cs="Times New Roman"/>
          <w:b/>
          <w:bCs/>
          <w:sz w:val="21"/>
          <w:szCs w:val="21"/>
        </w:rPr>
        <w:t>VARÐANDI LOFTFLUTNINGA MILLI LANDA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AÐILDARRÍKI SAMNINGS ÞESSA SEM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VIÐURKENNA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mikilvægt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framlag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samræmingu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nokkurra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reglna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varðandi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loftflutninga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milli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var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undirritaður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Varsjá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12.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október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1929,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hér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eftir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nefndur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„</w:t>
      </w:r>
      <w:proofErr w:type="spellStart"/>
      <w:proofErr w:type="gramStart"/>
      <w:r w:rsidRPr="00297CC4">
        <w:rPr>
          <w:rFonts w:ascii="Times New Roman" w:hAnsi="Times New Roman" w:cs="Times New Roman"/>
          <w:sz w:val="21"/>
          <w:szCs w:val="21"/>
        </w:rPr>
        <w:t>Varsjársamningurinn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“</w:t>
      </w:r>
      <w:proofErr w:type="gramEnd"/>
      <w:r w:rsidRPr="00297CC4">
        <w:rPr>
          <w:rFonts w:ascii="Times New Roman" w:hAnsi="Times New Roman" w:cs="Times New Roman"/>
          <w:sz w:val="21"/>
          <w:szCs w:val="21"/>
        </w:rPr>
        <w:t xml:space="preserve">,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öðrum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skyldum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gerningum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samræma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reglur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einkamálarétt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sviði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flugmála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;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VIÐURKENNA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nauðsyn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færa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nútímahorfs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steypa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Varsjársamningnum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skyldum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;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VIÐURKENNA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mikilvægi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tryggð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vernd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hagsmuna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neytenda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tilliti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milli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loftleiðis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nauðsyn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réttlátra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bóta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byggðar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meginreglunni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endurheimt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;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ÁRÉTTA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æskilegt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þróun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reksturs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sviði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milli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loftleiðis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skipulegum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hætti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flæði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farþega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farangurs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farms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jafnt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samræmi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meginreglur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markmið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Samþykktar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alþjóðleg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flugmál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var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gerð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Chicago 7.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desember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1944;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ERU FULLVISS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sameiginlegar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ráðstafanir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ríkja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samræma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frekar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skrá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skipulega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tilteknar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reglur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milli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loftleiðis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nýjum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vísasta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leiðin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réttlátum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jöfnuði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tilliti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ólíkra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hagsmuna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;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HAFA ORÐIÐ ÁSÁTT UM EFTIRFARANDI: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297CC4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I. KAFLI</w:t>
      </w:r>
    </w:p>
    <w:p w:rsidR="00297CC4" w:rsidRPr="00297CC4" w:rsidRDefault="00297CC4" w:rsidP="00297CC4">
      <w:pPr>
        <w:jc w:val="center"/>
        <w:rPr>
          <w:rFonts w:ascii="Times New Roman" w:hAnsi="Times New Roman" w:cs="Times New Roman"/>
          <w:sz w:val="21"/>
          <w:szCs w:val="21"/>
        </w:rPr>
      </w:pP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Almenn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ákvæði</w:t>
      </w:r>
      <w:proofErr w:type="spellEnd"/>
    </w:p>
    <w:p w:rsidR="00297CC4" w:rsidRPr="00297CC4" w:rsidRDefault="00297CC4" w:rsidP="00297CC4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1.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Gildissvið</w:t>
      </w:r>
      <w:proofErr w:type="spellEnd"/>
    </w:p>
    <w:p w:rsidR="00297CC4" w:rsidRPr="00297CC4" w:rsidRDefault="00297CC4" w:rsidP="00FD64DA">
      <w:pPr>
        <w:pStyle w:val="Mlsgreinlista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gildir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allan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loftfari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farþegum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farangri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farmi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milli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gegn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greiðslu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. Hann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gildir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jafnt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ókeypis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loftförum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flugrekandi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framkvæmir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FD64DA">
      <w:pPr>
        <w:pStyle w:val="Mlsgreinlista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merkir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milli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brottfarar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-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ákvörðunarstaður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samkvæmt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milli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viðkomandi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hvort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hlé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áframsending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ekki,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annaðhvort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innan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landsvæða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tveggja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aðildarríkja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innan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landsvæðis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aðildarríkis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ræða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umsaminn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viðkomustað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innan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landsvæðis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annars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ríkis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jafnvel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þó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ríki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ekki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aðildarríki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milli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tveggja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staða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innan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landsvæðis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samningsaðila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umsaminn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viðkomustað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innan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landsvæðis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annars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ríkis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ræða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ekki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milli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skilningi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FD64DA">
      <w:pPr>
        <w:pStyle w:val="Mlsgreinlista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nokkrir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flytjendur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framkvæma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eftir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öðrum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telst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þennan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óslitinn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viðkomandi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hafa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litið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svo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eitt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verkefni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ræða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hvort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hafði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röð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slíkur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telst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milli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jafnvel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þótt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framkvæma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röð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alfarið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innan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landsvæðis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ríkis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FD64DA">
      <w:pPr>
        <w:pStyle w:val="Mlsgreinlista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gildir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einnig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samanber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V.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kafla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fyrirvara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skilmála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getið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297CC4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2.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ríki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framkvæma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póstsendinga</w:t>
      </w:r>
      <w:proofErr w:type="spellEnd"/>
    </w:p>
    <w:p w:rsidR="00297CC4" w:rsidRPr="00FD64DA" w:rsidRDefault="00297CC4" w:rsidP="00FD64DA">
      <w:pPr>
        <w:pStyle w:val="Mlsgreinlista"/>
        <w:numPr>
          <w:ilvl w:val="0"/>
          <w:numId w:val="3"/>
        </w:numPr>
        <w:tabs>
          <w:tab w:val="left" w:pos="709"/>
        </w:tabs>
        <w:ind w:left="0" w:firstLine="0"/>
        <w:rPr>
          <w:rFonts w:ascii="Times New Roman" w:hAnsi="Times New Roman" w:cs="Times New Roman"/>
          <w:sz w:val="21"/>
          <w:szCs w:val="21"/>
        </w:rPr>
      </w:pPr>
      <w:proofErr w:type="spellStart"/>
      <w:r w:rsidRPr="00FD64DA">
        <w:rPr>
          <w:rFonts w:ascii="Times New Roman" w:hAnsi="Times New Roman" w:cs="Times New Roman"/>
          <w:sz w:val="21"/>
          <w:szCs w:val="21"/>
        </w:rPr>
        <w:lastRenderedPageBreak/>
        <w:t>Samningur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þessi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gildir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flutninga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ríki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framkvæma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lögformlegar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opinberar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stofnanir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tilskildu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þeir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rúmist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innan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þeirra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skilyrða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mælt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um í 1. gr.</w:t>
      </w:r>
    </w:p>
    <w:p w:rsidR="00297CC4" w:rsidRPr="00FD64DA" w:rsidRDefault="00297CC4" w:rsidP="00FD64DA">
      <w:pPr>
        <w:pStyle w:val="Mlsgreinlista"/>
        <w:numPr>
          <w:ilvl w:val="0"/>
          <w:numId w:val="3"/>
        </w:numPr>
        <w:tabs>
          <w:tab w:val="left" w:pos="709"/>
        </w:tabs>
        <w:ind w:left="0" w:firstLine="0"/>
        <w:rPr>
          <w:rFonts w:ascii="Times New Roman" w:hAnsi="Times New Roman" w:cs="Times New Roman"/>
          <w:sz w:val="21"/>
          <w:szCs w:val="21"/>
        </w:rPr>
      </w:pPr>
      <w:proofErr w:type="spellStart"/>
      <w:r w:rsidRPr="00FD64DA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varðar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flutning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pósts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viðkomandi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flytjandi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aðeins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skaðabótaskyldur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gagnvart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hlutaðeigandi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póststjórn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samræmi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við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gildandi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reglur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tengsl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flytjenda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póststjórna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>.</w:t>
      </w:r>
    </w:p>
    <w:p w:rsidR="00297CC4" w:rsidRPr="00FD64DA" w:rsidRDefault="00297CC4" w:rsidP="00FD64DA">
      <w:pPr>
        <w:pStyle w:val="Mlsgreinlista"/>
        <w:numPr>
          <w:ilvl w:val="0"/>
          <w:numId w:val="3"/>
        </w:numPr>
        <w:tabs>
          <w:tab w:val="left" w:pos="709"/>
        </w:tabs>
        <w:ind w:left="0" w:firstLine="0"/>
        <w:rPr>
          <w:rFonts w:ascii="Times New Roman" w:hAnsi="Times New Roman" w:cs="Times New Roman"/>
          <w:sz w:val="21"/>
          <w:szCs w:val="21"/>
        </w:rPr>
      </w:pPr>
      <w:proofErr w:type="spellStart"/>
      <w:r w:rsidRPr="00FD64DA">
        <w:rPr>
          <w:rFonts w:ascii="Times New Roman" w:hAnsi="Times New Roman" w:cs="Times New Roman"/>
          <w:sz w:val="21"/>
          <w:szCs w:val="21"/>
        </w:rPr>
        <w:t>Ákvæði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samnings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þessa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gilda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ekki um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flutning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pósts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nema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leyti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kveðið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á um í 2. mgr.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þessarar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D64DA">
        <w:rPr>
          <w:rFonts w:ascii="Times New Roman" w:hAnsi="Times New Roman" w:cs="Times New Roman"/>
          <w:sz w:val="21"/>
          <w:szCs w:val="21"/>
        </w:rPr>
        <w:t>greinar</w:t>
      </w:r>
      <w:proofErr w:type="spellEnd"/>
      <w:r w:rsidRPr="00FD64DA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297CC4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II. KAFLI</w:t>
      </w:r>
    </w:p>
    <w:p w:rsidR="00297CC4" w:rsidRPr="00297CC4" w:rsidRDefault="00297CC4" w:rsidP="00297CC4">
      <w:pPr>
        <w:jc w:val="center"/>
        <w:rPr>
          <w:rFonts w:ascii="Times New Roman" w:hAnsi="Times New Roman" w:cs="Times New Roman"/>
          <w:sz w:val="21"/>
          <w:szCs w:val="21"/>
        </w:rPr>
      </w:pP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Skjalahald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skyldur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farþega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farangurs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farms</w:t>
      </w:r>
    </w:p>
    <w:p w:rsidR="00297CC4" w:rsidRPr="00297CC4" w:rsidRDefault="00297CC4" w:rsidP="00297CC4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3.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Farþegar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farangur</w:t>
      </w:r>
      <w:proofErr w:type="spellEnd"/>
    </w:p>
    <w:p w:rsidR="00297CC4" w:rsidRPr="00297CC4" w:rsidRDefault="00297CC4" w:rsidP="00FD64DA">
      <w:pPr>
        <w:tabs>
          <w:tab w:val="left" w:pos="709"/>
        </w:tabs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1.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ræðir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farþegaflutninga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afhenta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einstaklingsbundinn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sameiginlegan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farseðil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inniheldur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upplýsingar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um:</w:t>
      </w:r>
    </w:p>
    <w:p w:rsidR="00297CC4" w:rsidRPr="00297CC4" w:rsidRDefault="00297CC4" w:rsidP="00FD64DA">
      <w:pPr>
        <w:tabs>
          <w:tab w:val="left" w:pos="709"/>
          <w:tab w:val="left" w:pos="851"/>
        </w:tabs>
        <w:ind w:left="567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a.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brottfarar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-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ákvörðunarstað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;</w:t>
      </w:r>
    </w:p>
    <w:p w:rsidR="00297CC4" w:rsidRPr="00297CC4" w:rsidRDefault="00297CC4" w:rsidP="00FD64DA">
      <w:pPr>
        <w:tabs>
          <w:tab w:val="left" w:pos="709"/>
          <w:tab w:val="left" w:pos="851"/>
        </w:tabs>
        <w:ind w:left="567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b.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brottfarar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-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ákvörðunarstaður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innan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landsvæðis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aðildarríkis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fleiri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umsamdir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viðkomustaðir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innan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landsvæðis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annars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ríkis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minnsta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kosti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slíkan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viðkomustað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;</w:t>
      </w:r>
    </w:p>
    <w:p w:rsidR="00297CC4" w:rsidRPr="00297CC4" w:rsidRDefault="00297CC4" w:rsidP="00FD64DA">
      <w:pPr>
        <w:tabs>
          <w:tab w:val="left" w:pos="709"/>
        </w:tabs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2.</w:t>
      </w:r>
      <w:r w:rsidRPr="00297CC4">
        <w:rPr>
          <w:rFonts w:ascii="Times New Roman" w:hAnsi="Times New Roman" w:cs="Times New Roman"/>
          <w:sz w:val="21"/>
          <w:szCs w:val="21"/>
        </w:rPr>
        <w:tab/>
        <w:t xml:space="preserve">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afhenda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farseðil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1. mgr.,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heimilt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beita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annarri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aðferð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kleift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varðveita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þær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upplýsingar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koma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1. mgr.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slíkri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annarri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aðferð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beitt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bjóða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farþega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afhenda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honum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skriflega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yfirlýsingu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þær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upplýsingar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varðveittar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samkvæmt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fyrrnefndri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aðferð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FD64DA">
      <w:pPr>
        <w:tabs>
          <w:tab w:val="left" w:pos="709"/>
        </w:tabs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3.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afhenda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farþega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farangursmiða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hvern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farangurshluta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innritaður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FD64DA">
      <w:pPr>
        <w:tabs>
          <w:tab w:val="left" w:pos="709"/>
        </w:tabs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4.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Afhenda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farþega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skrifleg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tilkynningu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efnis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gildi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kunni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takmarka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ábyrgð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flytjenda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líf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-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líkamstjón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ábyrgð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vegna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eyðileggingar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hvarfs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tjóns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fararangri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vegna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tafa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FD64DA">
      <w:pPr>
        <w:tabs>
          <w:tab w:val="left" w:pos="709"/>
        </w:tabs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5.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Þótt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ákvæðum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málsgreinanna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hér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fylgt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hefur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engin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áhrif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tilvist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gildi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flutningssamningsins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ákvæði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gilda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engu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síður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annars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ákvæði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takmörkun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ábyrgðar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FD64DA">
      <w:pPr>
        <w:tabs>
          <w:tab w:val="left" w:pos="426"/>
          <w:tab w:val="left" w:pos="709"/>
        </w:tabs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297CC4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4.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Farmur</w:t>
      </w:r>
      <w:proofErr w:type="spellEnd"/>
    </w:p>
    <w:p w:rsidR="00297CC4" w:rsidRPr="00297CC4" w:rsidRDefault="00297CC4" w:rsidP="00FD64DA">
      <w:pPr>
        <w:tabs>
          <w:tab w:val="left" w:pos="709"/>
        </w:tabs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1.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farmur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afhenda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fylgibréf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FD64DA">
      <w:pPr>
        <w:tabs>
          <w:tab w:val="left" w:pos="709"/>
        </w:tabs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2.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Heimilt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varðveita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greinargerð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fyrirhugaðan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öðrum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hætti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komið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afhenda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sendanda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farmkvittun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kleift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kennsl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sendinguna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heimilar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aðgang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upplýsingum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koma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þeirri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greinargerð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varðveitt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öðrum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hætti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greinir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297CC4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5.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Efni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fylgibréfs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farmkvittunar</w:t>
      </w:r>
      <w:proofErr w:type="spellEnd"/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fylgibréfi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farmkvittun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farmi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komi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eftirfarandi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:</w:t>
      </w:r>
    </w:p>
    <w:p w:rsidR="00297CC4" w:rsidRPr="00297CC4" w:rsidRDefault="00297CC4" w:rsidP="00FD64DA">
      <w:pPr>
        <w:tabs>
          <w:tab w:val="left" w:pos="851"/>
        </w:tabs>
        <w:ind w:left="567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a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brottfarar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-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ákvörðunarstaður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;</w:t>
      </w:r>
    </w:p>
    <w:p w:rsidR="00297CC4" w:rsidRPr="00297CC4" w:rsidRDefault="00297CC4" w:rsidP="00FD64DA">
      <w:pPr>
        <w:tabs>
          <w:tab w:val="left" w:pos="851"/>
        </w:tabs>
        <w:ind w:left="567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b.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brottfarar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-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ákvörðunarstaður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innan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landsvæðis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aðildarríkis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fleiri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umsamdir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viðkomustaðir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innan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landsvæðis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annars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ríkis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minnsta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kosti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slíkur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viðkomustaður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; og</w:t>
      </w:r>
    </w:p>
    <w:p w:rsidR="00297CC4" w:rsidRPr="00297CC4" w:rsidRDefault="00297CC4" w:rsidP="00FD64DA">
      <w:pPr>
        <w:tabs>
          <w:tab w:val="left" w:pos="851"/>
        </w:tabs>
        <w:ind w:left="567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lastRenderedPageBreak/>
        <w:t>c.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þyngd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sendingar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297CC4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6.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Farmgerðarskjal</w:t>
      </w:r>
      <w:proofErr w:type="spellEnd"/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Heimilt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krefjast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nauðsyn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sendandi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fullnægi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þeirri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formkröfu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tollyfirvalda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lögreglu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líkra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opinberra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yfirvalda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afhenda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skjal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kemur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hvers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kyns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farm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ræða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hefur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ákvæði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þetta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skyldu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skuldbindingu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för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ábyrgð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rekja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hennar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297CC4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7.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Lýsing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fylgibréfs</w:t>
      </w:r>
      <w:proofErr w:type="spellEnd"/>
    </w:p>
    <w:p w:rsidR="00297CC4" w:rsidRPr="00297CC4" w:rsidRDefault="00297CC4" w:rsidP="005516B4">
      <w:pPr>
        <w:tabs>
          <w:tab w:val="left" w:pos="709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1.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Sendandi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fylla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út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fylgibréfs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þremur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frumeintökum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5516B4">
      <w:pPr>
        <w:tabs>
          <w:tab w:val="left" w:pos="709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2.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Fyrsta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eintakið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merkt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„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 w:rsidRPr="00297CC4">
        <w:rPr>
          <w:rFonts w:ascii="Times New Roman" w:hAnsi="Times New Roman" w:cs="Times New Roman"/>
          <w:sz w:val="21"/>
          <w:szCs w:val="21"/>
        </w:rPr>
        <w:t>flytjanda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“ og</w:t>
      </w:r>
      <w:proofErr w:type="gram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sendandi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undirrita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Annað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eintakið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merkt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„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 w:rsidRPr="00297CC4">
        <w:rPr>
          <w:rFonts w:ascii="Times New Roman" w:hAnsi="Times New Roman" w:cs="Times New Roman"/>
          <w:sz w:val="21"/>
          <w:szCs w:val="21"/>
        </w:rPr>
        <w:t>viðtakanda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“ og</w:t>
      </w:r>
      <w:proofErr w:type="gram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sendandi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undirrita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undirrita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þriðja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eintakið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afhenda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sendanda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eftir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farmi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hefur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veitt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viðtaka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5516B4">
      <w:pPr>
        <w:tabs>
          <w:tab w:val="left" w:pos="709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3.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Heimilt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prenta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stimpla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undirritun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sendanda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5516B4">
      <w:pPr>
        <w:tabs>
          <w:tab w:val="left" w:pos="709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4.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Útfylli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fylgibréf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beiðni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sendanda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litið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svo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hafi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gert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hönd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sendanda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nema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færðar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sönnur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annað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5516B4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297CC4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8.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Skjöl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böggla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mörgum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stykkjum</w:t>
      </w:r>
      <w:proofErr w:type="spellEnd"/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fleiri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eitt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stykki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ræða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:</w:t>
      </w:r>
    </w:p>
    <w:p w:rsidR="00297CC4" w:rsidRPr="00297CC4" w:rsidRDefault="00297CC4" w:rsidP="005516B4">
      <w:pPr>
        <w:tabs>
          <w:tab w:val="left" w:pos="851"/>
        </w:tabs>
        <w:ind w:left="567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a.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farmflytjandi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krafist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sendandi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fylli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út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aðskilin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fylgibréf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;</w:t>
      </w:r>
    </w:p>
    <w:p w:rsidR="00297CC4" w:rsidRPr="00297CC4" w:rsidRDefault="00297CC4" w:rsidP="005516B4">
      <w:pPr>
        <w:tabs>
          <w:tab w:val="left" w:pos="851"/>
        </w:tabs>
        <w:ind w:left="567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b.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sendandi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krafist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afhendi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aðskildar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farmkvittanir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annar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háttur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hafður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2. mgr. 4. gr.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297CC4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9.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Kröfum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skjalagerð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ekki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fullnægt</w:t>
      </w:r>
      <w:proofErr w:type="spellEnd"/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Þrátt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ákvæðum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4.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8. gr.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ekki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fylgt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hefur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engin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áhrif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tilvist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gildi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flutningssamnings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ákvæði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gilda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engu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síður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annars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ákvæði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takmörkun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ábyrgðar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297CC4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10.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Ábyrgð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veittum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upplýsingum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skjölum</w:t>
      </w:r>
      <w:proofErr w:type="spellEnd"/>
    </w:p>
    <w:p w:rsidR="00297CC4" w:rsidRPr="00297CC4" w:rsidRDefault="00297CC4" w:rsidP="005516B4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1.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Sendandi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ábyrgur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upplýsingar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yfirlýsingar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farm,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færir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inn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fylgibréf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færðar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inn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hönd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réttar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;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gildir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upplýsingar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yfirlýsingar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farm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lætur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té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látnar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té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hönd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færa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inn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farmkvittun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greinargerð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varðveitt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öðrum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hætti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2.mgr. 4. gr.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Fyrrnefnd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atriði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gilda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einnig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kemur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hönd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sendanda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einnig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umboðsmaður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5516B4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2.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Sendandi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skaðlausan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vegna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alls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tjóns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annar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ábyrgur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gagnvart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sakir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upplýsingarnar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yfirlýsingarnar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sendandi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lætur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té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látnar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té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hönd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ólögmætar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rangar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ófullkomnar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5516B4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3.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fyrirvara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ákvæði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1. og 2. mgr.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þessarar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greinar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sendanda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skaðlausan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vegna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alls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tjóns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sendandinn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annar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sendandinn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ábyrgur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gagnvart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sakir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upplýsingarnar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yfirlýsingarnar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færir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inn,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færðar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inn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hönd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lastRenderedPageBreak/>
        <w:t>farmkvittun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greinargerð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varðveitt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öðrum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hætti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2. mgr. 4. gr.,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ólögmætar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rangar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ófullkomnar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297CC4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11.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Sönnunargildi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skjala</w:t>
      </w:r>
      <w:proofErr w:type="spellEnd"/>
    </w:p>
    <w:p w:rsidR="00297CC4" w:rsidRPr="00297CC4" w:rsidRDefault="00297CC4" w:rsidP="005516B4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1.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Fylgibréf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farmkvittun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gildir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órannsökuðu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máli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sönnun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hafi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gerður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farmi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hafi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tekið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flutningsskilyrðum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5516B4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2.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Yfirlýsingar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fylgibréfi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farmkvittun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þyngd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mál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umbúðir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farms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stykkjafjölda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gilda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órannsökuðu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máli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sönnun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atriðum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tilgreind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Yfirlýsingar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magn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rúmtak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ástand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vöru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gilda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hins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ekki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sönnunargagn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gegn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nema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leyti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kemur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fylgibréfi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farmkvittun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hafi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viðurvist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sendanda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gengið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úr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skugga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sannleiksgildi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þeirra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þær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skylt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sýnilegt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ástand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farmsins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297CC4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12.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Réttur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ráðstafa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farmi</w:t>
      </w:r>
      <w:proofErr w:type="spellEnd"/>
    </w:p>
    <w:p w:rsidR="00297CC4" w:rsidRPr="00297CC4" w:rsidRDefault="00297CC4" w:rsidP="005516B4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1.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Sendandi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hefur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fyrirvara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skyldu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fullnægja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öllum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skuldbindingum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sínum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samkvæmt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flutningssamningi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rétt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ráðstafa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farmi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fjarlægja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flughöfn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brottfarar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-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ákvörðunarstaður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stöðva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leiðinni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lent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krefjast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afhentur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ákvörðunarstað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leiðinni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öðrum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viðtakanda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var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upphaflega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tilnefndur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krefjast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endursendur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flughafnar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brottfararstaður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Sendandi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ekki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fyrrnefndan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ráðstöfunarrétt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þannig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sendendur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tjóni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endurgreiða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útlagðan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kostnað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hlýst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rétti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beitt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5516B4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2.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ógerlegt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fyrirmælum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sendanda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tilkynna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honum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tafar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5516B4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3.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fyrirmælum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sendanda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ráðstöfun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farms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krefjast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hluti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fylgibréfs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farmkvittunar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farmi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síðarnefnda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afhentur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lagður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skaðabótaskyldur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fyrirvara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rétt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bóta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sendanda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öllu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tjóni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löglega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hefur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yfir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ráða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fyrrnefndum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hluta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fylgibréfsins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farmkvittunarinnar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farmi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sökum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5516B4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4.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Réttur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sendanda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fellur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niður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leið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réttur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viðtakanda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hefst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skv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. 13. gr.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Neiti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viðtakandi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taka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farmi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ekki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unnt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sambandi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endurheimtir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sendandi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ráðstöfunarrétt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297CC4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13.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Afhending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farms</w:t>
      </w:r>
    </w:p>
    <w:p w:rsidR="00297CC4" w:rsidRPr="00297CC4" w:rsidRDefault="00297CC4" w:rsidP="005516B4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1.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Viðtakanda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nema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sendandi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hafi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haldið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rétti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sínum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skv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. 12. gr.,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réttur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kröfu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komu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farms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ákvörðunarstaðar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afhendi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honum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farminn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gegn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greiðslu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tilhlýðilegra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gjalda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eftir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hefur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fullnægt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flutningsskilyrðum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5516B4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2.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skylda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tilkynna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viðtakanda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tafar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komu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farms,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nema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annað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5516B4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3.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Viðurkenni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farmur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hafi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glatast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farmur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ókominn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sjö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dögum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eftir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dag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von var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honum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viðtakandi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haldið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rétti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gagnvart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flutningssamningurinn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kveður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um.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297CC4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14.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Réttur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sendanda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viðtakanda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nýttur</w:t>
      </w:r>
      <w:proofErr w:type="spellEnd"/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  <w:proofErr w:type="spellStart"/>
      <w:r w:rsidRPr="00297CC4">
        <w:rPr>
          <w:rFonts w:ascii="Times New Roman" w:hAnsi="Times New Roman" w:cs="Times New Roman"/>
          <w:sz w:val="21"/>
          <w:szCs w:val="21"/>
        </w:rPr>
        <w:lastRenderedPageBreak/>
        <w:t>Sendandi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viðtakandi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hvor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sig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nýtt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allan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rétt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skv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. 12. og 13. gr.,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hvor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eigin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nafni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hvort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gæta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eigin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hagsmuna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hagsmuna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annarra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tilskildu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sinni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skyldum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samkvæmt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flutningssamningi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297CC4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15.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Tengsl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sendanda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viðtakanda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gagnkvæm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tengsl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þriðju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aðila</w:t>
      </w:r>
      <w:proofErr w:type="spellEnd"/>
    </w:p>
    <w:p w:rsidR="00297CC4" w:rsidRPr="00297CC4" w:rsidRDefault="00297CC4" w:rsidP="005516B4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1.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Ákvæði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12., 13. og 14. gr.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hafa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hvorki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áhrif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tengsl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sendanda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viðtakanda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þeirra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milli né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gagnkvæm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tengsl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þriðju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sækja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rétt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annaðhvort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sendanda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viðtakanda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5516B4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2.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Ákvæðum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12., 13. og 14. gr.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aðeins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breyta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sérstöku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ákvæði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fylgibréfi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farmkvittun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297CC4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16.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Formkröfur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tollyfirvalda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lögreglu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annarra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opinberra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yfirvalda</w:t>
      </w:r>
      <w:proofErr w:type="spellEnd"/>
    </w:p>
    <w:p w:rsidR="00297CC4" w:rsidRPr="00297CC4" w:rsidRDefault="00297CC4" w:rsidP="005516B4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1.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Sendanda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skylt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láta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té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þær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upplýsingar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framvísa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skjölum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nauðsynleg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uppfylla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formkröfur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tollyfirvalda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lögreglu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annarra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opinberra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yfirvalda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unnt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afhenda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viðtakanda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farm.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Sendandi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skaðabótaskyldur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gagnvart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vegna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tjóns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hlýst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slíkar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upplýsingar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skjöl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vantar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ófullkomin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ólögmæt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nema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tjónið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völdum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starfsmanna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umboðsmanna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5516B4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2.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ekki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skylda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kanna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hvort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fyrrnefndar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upplýsingar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skjöl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rétt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fullnægjandi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297CC4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III. KAFLI</w:t>
      </w:r>
    </w:p>
    <w:p w:rsidR="00297CC4" w:rsidRPr="00297CC4" w:rsidRDefault="00297CC4" w:rsidP="00297CC4">
      <w:pPr>
        <w:jc w:val="center"/>
        <w:rPr>
          <w:rFonts w:ascii="Times New Roman" w:hAnsi="Times New Roman" w:cs="Times New Roman"/>
          <w:sz w:val="21"/>
          <w:szCs w:val="21"/>
        </w:rPr>
      </w:pP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Ábyrgð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takmörk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skaðabóta</w:t>
      </w:r>
      <w:proofErr w:type="spellEnd"/>
    </w:p>
    <w:p w:rsidR="00297CC4" w:rsidRPr="00297CC4" w:rsidRDefault="00297CC4" w:rsidP="00297CC4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17.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Farþegi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lætur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lífið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meiðist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tjón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farangri</w:t>
      </w:r>
      <w:proofErr w:type="spellEnd"/>
    </w:p>
    <w:p w:rsidR="00297CC4" w:rsidRPr="00297CC4" w:rsidRDefault="00297CC4" w:rsidP="005516B4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1.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skaðabótaskyldur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láti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farþegi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lífið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líkamstjóni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aðeins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slysið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olli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líf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-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líkamstjóni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borð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loftfari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var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borð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borði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5516B4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2.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skaðabótaskyldur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eyðileggist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innritaður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farangur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glatist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skemmist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aðeins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atburður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olli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eyðileggingunni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hvarfinu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skemmdunum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borð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loftfarinu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innritaður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farangur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var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vörslu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ekki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skaðabótaskyldur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marki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tjónið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rekja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innbyggðs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annmarka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eiginleika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ágalla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farangurs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skaðabótaskyldur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ræða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óinnritaðan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farangur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talið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persónulega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muni,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tjónið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vegna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mistaka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starfsmanna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umboðsmanna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5516B4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3.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Gangist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innritaður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farangur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hafi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glatast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komi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innritaður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farangur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ekki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tuttugu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degi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liðnum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degi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hefði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átt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koma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farþegi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haldið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rétti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gagnvart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flutningssamningurinn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kveður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um.</w:t>
      </w:r>
    </w:p>
    <w:p w:rsidR="00297CC4" w:rsidRPr="00297CC4" w:rsidRDefault="00297CC4" w:rsidP="005516B4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4.</w:t>
      </w:r>
      <w:r w:rsidRPr="00297CC4">
        <w:rPr>
          <w:rFonts w:ascii="Times New Roman" w:hAnsi="Times New Roman" w:cs="Times New Roman"/>
          <w:sz w:val="21"/>
          <w:szCs w:val="21"/>
        </w:rPr>
        <w:tab/>
        <w:t>„</w:t>
      </w:r>
      <w:proofErr w:type="spellStart"/>
      <w:proofErr w:type="gramStart"/>
      <w:r w:rsidRPr="00297CC4">
        <w:rPr>
          <w:rFonts w:ascii="Times New Roman" w:hAnsi="Times New Roman" w:cs="Times New Roman"/>
          <w:sz w:val="21"/>
          <w:szCs w:val="21"/>
        </w:rPr>
        <w:t>Farangur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“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merkir</w:t>
      </w:r>
      <w:proofErr w:type="spellEnd"/>
      <w:proofErr w:type="gram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nema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annað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tilgreint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bæði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innritaðan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óinnritaðan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farangur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5516B4">
      <w:pPr>
        <w:tabs>
          <w:tab w:val="left" w:pos="567"/>
        </w:tabs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297CC4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18.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Tjón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farmi</w:t>
      </w:r>
      <w:proofErr w:type="spellEnd"/>
    </w:p>
    <w:p w:rsidR="00297CC4" w:rsidRPr="00297CC4" w:rsidRDefault="00297CC4" w:rsidP="005516B4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1.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skaðabótaskyldur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vegna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tjóns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farmur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eyðileggst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glatast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skemmist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aðeins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atburður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olli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tjóni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þannig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átti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loftleiðis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stóð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5516B4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2.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ekki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skaðabótaskyldur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færi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sönnur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á,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marki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svo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eyðilegging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hvarf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tjón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farmi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hafi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orsakast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einni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fleiri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eftirtalinna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ástæðna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:</w:t>
      </w:r>
    </w:p>
    <w:p w:rsidR="00297CC4" w:rsidRPr="00297CC4" w:rsidRDefault="00297CC4" w:rsidP="005516B4">
      <w:pPr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lastRenderedPageBreak/>
        <w:t>a.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eðlislægum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ágöllum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eiginleikum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göllum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farmsins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;</w:t>
      </w:r>
    </w:p>
    <w:p w:rsidR="00297CC4" w:rsidRPr="00297CC4" w:rsidRDefault="00297CC4" w:rsidP="005516B4">
      <w:pPr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b.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gölluðum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umbúðum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farmsins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starfsmenn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umboðsmenn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hafa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gengið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;</w:t>
      </w:r>
    </w:p>
    <w:p w:rsidR="00297CC4" w:rsidRPr="00297CC4" w:rsidRDefault="00297CC4" w:rsidP="005516B4">
      <w:pPr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c.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stríði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vopnuðum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átökum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;</w:t>
      </w:r>
    </w:p>
    <w:p w:rsidR="00297CC4" w:rsidRPr="00297CC4" w:rsidRDefault="00297CC4" w:rsidP="005516B4">
      <w:pPr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d.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aðgerðum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opinberra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yfirvalda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tengslum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komu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brottför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umflutning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farmsins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5516B4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3.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Undir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loftleiðis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skilningi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1. mgr.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þessarar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greinar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fellur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tími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farmur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vörslu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5516B4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4.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loftleiðis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nær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ekki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neinskonar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sjó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innlendum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vatnaleiðum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utan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flughafnar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hins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slíkur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samkvæmt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loftleiðis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tilgangi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hlaða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afhenda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áframsenda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farm,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litið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svo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nema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færðar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sönnur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annað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tjón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vegna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atburðar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átti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loftleiðis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stóð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Ákveði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samþykkis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sendanda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annar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flutningsmáti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viðhafður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allan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tíma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stendur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hluta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tíma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milli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gerði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ráð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yrði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loftleiðis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litið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svo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slíkur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öðrum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hætti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loftleiðis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stendur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297CC4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19.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Tafir</w:t>
      </w:r>
      <w:proofErr w:type="spellEnd"/>
    </w:p>
    <w:p w:rsidR="00297CC4" w:rsidRPr="00297CC4" w:rsidRDefault="00297CC4" w:rsidP="005516B4">
      <w:pPr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ábyrgð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tjóni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völdum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tafa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farþega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farangurs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farms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lofti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Þó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ekki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talinn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ábyrgð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tjóni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orsakast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vegna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tafa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fært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sönnur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starfsmenn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umboðsmenn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hafi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viðhaft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allar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þær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aðgerðir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sanngjarnt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talist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viðhafðar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skyni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afstýra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tjóni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hafi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ógerlegt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framkvæma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slíkar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aðgerðir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297CC4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20.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Hreinsun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áburði</w:t>
      </w:r>
      <w:proofErr w:type="spellEnd"/>
    </w:p>
    <w:p w:rsidR="00297CC4" w:rsidRPr="00297CC4" w:rsidRDefault="00297CC4" w:rsidP="005516B4">
      <w:pPr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Færi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sönnur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krefst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skaðabóta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sækir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rétt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hafi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valdið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tjóninu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stuðlað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vanrækslu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öðrum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ólögmætum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athöfnum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athafnaleysi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sakir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hluta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fullu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tilliti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ábyrgðar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gagnvart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krefjanda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marki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slík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vanræksla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ólögmæt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athöfn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athafnaleysi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olli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tjóninu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stuðlaði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. Geri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annar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farþegi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bótakröfu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vegna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líf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-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líkamstjóns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farþega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hátt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sakir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hluta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fullu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tilliti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ábyrgðar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marki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færir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sönnur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vanræksla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ólögmæt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athöfn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athafnaleysi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farþegans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olli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tjóninu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stuðlaði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grein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gildir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öll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ákvæði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fjalla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ábyrgð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1. mgr. 21. gr.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297CC4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21.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Bætur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vegna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líf-eða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líkamstjóns</w:t>
      </w:r>
      <w:proofErr w:type="spellEnd"/>
    </w:p>
    <w:p w:rsidR="00297CC4" w:rsidRPr="00297CC4" w:rsidRDefault="00297CC4" w:rsidP="005516B4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1.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ekki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útilokað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takmarkað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ábyrgð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sína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vegna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tjóns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skv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. 1. mgr. 17. gr.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100 000 SDR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minna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vegna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hvers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farþega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5516B4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2.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ekki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skaðabótaskyldur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vegna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tjóns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skv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. 1. mgr. 17. gr.,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leyti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meira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100 000 SDR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vegna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hvers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farþega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færi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sönnur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:</w:t>
      </w:r>
    </w:p>
    <w:p w:rsidR="00297CC4" w:rsidRPr="00297CC4" w:rsidRDefault="00297CC4" w:rsidP="005516B4">
      <w:pPr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a.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tjónið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ekki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vegna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vanrækslu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annarrar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ólögmætrar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athafnar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athafnaleysis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starfsmanna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umboðsmanna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;</w:t>
      </w:r>
    </w:p>
    <w:p w:rsidR="00297CC4" w:rsidRPr="00297CC4" w:rsidRDefault="00297CC4" w:rsidP="005516B4">
      <w:pPr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b.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tjónið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einvörðungu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vegna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vanrækslu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annarrar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ólögmætrar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athafnar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athafnaleysis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þriðja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5516B4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297CC4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lastRenderedPageBreak/>
        <w:t xml:space="preserve">22.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Mörk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ábyrgðar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tengslum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tafir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farangur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farm</w:t>
      </w:r>
    </w:p>
    <w:p w:rsidR="00297CC4" w:rsidRPr="00297CC4" w:rsidRDefault="00297CC4" w:rsidP="005516B4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1.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ræðir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tjón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vegna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tafa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tilgreint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19. gr.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farþegaflutninga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ábyrgð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viðkomandi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vegna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hvers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farþega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takmörkuð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4 150 SDR.</w:t>
      </w:r>
    </w:p>
    <w:p w:rsidR="00297CC4" w:rsidRPr="00297CC4" w:rsidRDefault="00297CC4" w:rsidP="005516B4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2.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ræðir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farangurs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ábyrgð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viðkomandi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vegna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eyðileggingar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hvarfs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tjóns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tafa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takmörkuð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fjárhæð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nemur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1 000 SDR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vegna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hvers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farþega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nema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farþegi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hafi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innritaður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farangur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var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afhentur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gefið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sérstaka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yfirlýsingu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hagsmuni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sína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tengdir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afhendingu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ákvörðunarstað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greitt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aukagjald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krafist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svo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undir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greiða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fjárhæð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jafnhá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uppgefinni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fjárhæð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lægri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nema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færi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sönnur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fjárhæðin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hærri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raunverulegir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hagsmunir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farþega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tengjast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afhendingu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ákvörðunarstað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5516B4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3.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ræðir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farms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ábyrgð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viðkomandi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vegna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eyðileggingar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hvarfs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tjóns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tafa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takmörkuð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fjárhæð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nemur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17 SDR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hvert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kílógramm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nema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sendandi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hafi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böggull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var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afhentur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gefið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sérstaka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yfirlýsingu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hagsmuni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sína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tengjast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afhendingu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ákvörðunarstað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greitt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aukagjald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krafist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svo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undir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greiða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fjárhæð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jafnhá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uppgefinni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fjárhæð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lægri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nema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færi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sönnur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fjárhæðin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hærri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raunverulegir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hagsmunir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sendanda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tengjast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afhendingu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ákvörðunarstað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5516B4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4.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hluti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farms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eyðileggst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hverfur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skemmist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tefst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gripur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honum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þungi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miðað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ákveðin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sú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fjárhæð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ábyrgð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takmörkuð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einungis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heildarþungi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bögguls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fleiri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ræðir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Hafi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eyðilegging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tjón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tafir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hluta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farms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grips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honum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engu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síður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áhrif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verðgildi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annarra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böggla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fylgibréf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farmkvittun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gildir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hafi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ekki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gefin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út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greinargerð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varðveitt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öðrum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hætti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2. mgr. 4. gr.,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einnig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miða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heildarþunga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slíks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slíkra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böggla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mörk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ábyrgðar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ákveðin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5516B4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5.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Ákvæði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1. og 2. mgr.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þessarar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greinar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gilda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ekki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sönnur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færðar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tjónið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vegna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athafnar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athafnaleysis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starfsmanna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umboðsmanna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viðhaft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skyni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valda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tjóni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rekja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kæruleysis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viðkomandi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hefði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mátt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vita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tjón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myndi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sennilega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hljótast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slíkri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athöfn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athafnaleysi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;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fyrirvari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þó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ræðir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slíka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athöfn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athafnaleysi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starfsmanns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umboðsmanns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einnig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færðar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sönnur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umræddur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starfsmaður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umboðsmaður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hafi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verki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vettvangi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starfs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síns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5516B4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6.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mörk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mælt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í 21. gr. og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þessari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grein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skulu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ekki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koma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veg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dómstóllinn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úrskurði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aukinheldur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samræmi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lög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sín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kostnað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vegna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málflutnings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annan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málskostnað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allan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hluta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stefnandi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hefur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lagt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talda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vexti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Ákvæðið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hér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gildir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ekki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dæmdar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skaðabætur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undanskildum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kostnaði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vegna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málflutnings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öðrum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málskostnaði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ekki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hærri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sú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fjárhæð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hefur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boðið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stefnanda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skriflega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innan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sex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mánaða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degi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atburður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leiddi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tjónsins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lögsókn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hafin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gerist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síðar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297CC4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23.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Umreikningur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eininga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gjaldmiðla</w:t>
      </w:r>
      <w:proofErr w:type="spellEnd"/>
    </w:p>
    <w:p w:rsidR="00297CC4" w:rsidRPr="00297CC4" w:rsidRDefault="00297CC4" w:rsidP="005516B4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1.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Líta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svo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fjárhæðum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gefnar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upp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SDR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átt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sérstök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dráttarréttindi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samkvæmt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skilgreiningu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Alþjóðagjaldeyrissjóðsins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Umreikningur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fjárhæða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innlenda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gjaldmiðla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ræðir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málarekstur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dómstólum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miðað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verðgildi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slíkra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gjaldmiðla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sérstökum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dráttarréttindum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daginn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dómur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kveðinn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upp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Reikna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út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SDR-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verðgildi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innlends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gjaldmiðils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aðildarríkis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aðild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Alþjóðagjaldeyrissjóðnum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samkvæmt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matsaðferðinni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Alþjóðagjaldeyrissjóðurinn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beitir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svo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gott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daginn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dómur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kveðinn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upp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vegna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meðferðar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yfirfærslu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Reikna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út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SDR-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verðgildi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innlends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gjaldmiðils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aðildarríkis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ekki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aðild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Alþjóðagjaldeyrissjóðnum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hætti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aðildarríki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ákveður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5516B4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2.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ríki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ekki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aðild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Alþjóðagjaldeyrissjóðnum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löggjöf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þeirra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heimilar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ekki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ákvæðum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1. mgr.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þessarar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greinar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beitt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engu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síður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lýst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yfir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samhliða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fullgildingu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aðild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hvenær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eftir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ábyrgð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mælt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í 21. gr.,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takmörkuð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1 500 000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einingar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gjaldmiðla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vegna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hvers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farþega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málarekstri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dómstóli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landsvæðum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þeirra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62 500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einingar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lastRenderedPageBreak/>
        <w:t>gjaldmiðla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vegna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hvers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farþega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1. mgr. 22. gr., 15 000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einingar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gjaldmiðla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vegna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hvers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farþega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tilliti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2. mgr. 22 gr. og 250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einingar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gjaldmiðla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hvert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kílógramm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tilliti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3. mgr. 22. gr.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Fyrrnefnd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gjaldmiðils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svarar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65,5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millígramma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gulls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hreinleika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900/1000.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Heimilt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umreikna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fjárhæðir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viðeigandi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innlendan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gjaldmiðil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rúnnuðum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tölum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Umreikningur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þessara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fjárhæða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innlendan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gjaldmiðil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gerður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samkvæmt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lögum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viðkomandi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ríkis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5516B4">
      <w:pPr>
        <w:tabs>
          <w:tab w:val="left" w:pos="567"/>
        </w:tabs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3.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Útreikningurinn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síðasta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málslið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1. mgr.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þessarar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greinar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umreikningurinn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2. mgr.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þessarar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greinar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skulu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gerðir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þannig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komi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innlendum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gjaldmiðli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viðkomandi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aðildarríkis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frekast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unnt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raunverulega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verðgildi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fjárhæðirnar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21. og 22. gr.,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myndi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fást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ákvæðum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þriggja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fyrstu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málsliða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1. mgr.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þessarar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greinar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yrði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beitt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Aðildarríkin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skulu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tilkynna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vörsluaðilanum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hvaða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reikningsaðferð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beitt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samkvæmt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1. mgr.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þessarar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greinar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niðurstöðu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umreikninganna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2. mgr.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þessarar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greinar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eftir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afhenda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skjal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sitt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fullgildingu,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staðfestingu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samþykki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aðild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honum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hvert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breyting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hvorri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297CC4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24.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Endurskoðun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takmarka</w:t>
      </w:r>
      <w:proofErr w:type="spellEnd"/>
    </w:p>
    <w:p w:rsidR="00297CC4" w:rsidRPr="00297CC4" w:rsidRDefault="00297CC4" w:rsidP="005516B4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1.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Vörsluaðili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fimm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fresti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fyrirvara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ákvæði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25. gr.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2. mgr.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hér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aftan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endurskoða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mörk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ábyrgðar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mælt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í 21., 22. og 23. gr.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fyrsta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endurskoðun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lok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fimmta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árs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degi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öðlaðist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gildi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öðlist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samningurinn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ekki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gildi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innan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fimm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degi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liggur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frammi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undirritunar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fyrsta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árið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gildi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skírskotun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verðbólgustuðuls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svarar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uppsafnaðs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verðbólguhraða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síðan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síðasta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breyting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var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gerð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fyrstu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breytingu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ræða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síðan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samningurinn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öðlaðist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gildi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Mæling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verðbólguhraða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nota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ákvarða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verðbólgustuðulinn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vegið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meðaltal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árlegra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hækkunar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-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lækkunarstiga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neysluverðsvísitölu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þeirra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aðildarríkja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gjaldmiðla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mynda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sérstöku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dráttarréttindin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1. mgr. 23. gr.</w:t>
      </w:r>
    </w:p>
    <w:p w:rsidR="00297CC4" w:rsidRPr="00297CC4" w:rsidRDefault="00297CC4" w:rsidP="005516B4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2.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Leiði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endurskoðunin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málsgreininni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hér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ljós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verðbólgustuðullinn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hafi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yfir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tíu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hundraði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vörsluaðili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tilkynna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aðildarríkjum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mörkum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ábyrgðar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breytt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Allar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háttar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breytingar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skulu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koma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framkvæmda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sex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mánuðum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eftir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aðildarríkjunum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tilkynnt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þær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Bóki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meirihluti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aðildarríkjanna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andmæli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sín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innan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þriggja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mánaða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eftir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tilkynnt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breytingar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skulu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þær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ekki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koma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framkvæmda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vörsluaðili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vísa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málinu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fundar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aðildarríkjanna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Vörsluaðili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tafar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tilkynna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öllum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aðildarríkjum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breytingar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koma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framkvæmda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5516B4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3.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Þrátt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ákvæði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1. mgr.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þessarar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greinar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ávallt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beita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málsmeðferðinni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mælt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í 2. mgr.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þessarar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greinar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tilskildu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þó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þriðjungur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aðildarríkjanna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láti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ljós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ósk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sína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skilyrði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verðbólgustuðullinn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1. mgr.,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hafi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upp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30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hundraði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síðan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síðasta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breyting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var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gerð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síðan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öðlaðist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gildi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ekki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fyrri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breytingu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ræða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Endurskoðun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stuðst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aðferð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lýst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1. mgr.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þessarar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greinar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síðar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fimm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fresti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fyrsta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lok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fimmta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árs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dagsetningu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endurskoðunar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samkvæmt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þessari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málsgrein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297CC4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25.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Skilmálar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takmörk</w:t>
      </w:r>
      <w:proofErr w:type="spellEnd"/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heimilt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fastsetja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flutningssamningi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fyrirvari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hærri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mörk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ábyrgðar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kveðið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um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alls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engin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mörk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ábyrgðar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297CC4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26.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Ógild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samningsákvæði</w:t>
      </w:r>
      <w:proofErr w:type="spellEnd"/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Öll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samningsákvæði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tilhneiging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leysa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undan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ábyrgð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lægri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mörk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mælt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skulu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ógild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þó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ógildingu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allra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slíkra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samningsákvæða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felist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ekki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ógilding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alls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samningsins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ákvæði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gilda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eftir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297CC4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27.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Frelsi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samningsgerðar</w:t>
      </w:r>
      <w:proofErr w:type="spellEnd"/>
    </w:p>
    <w:p w:rsidR="00297CC4" w:rsidRPr="00297CC4" w:rsidRDefault="00297CC4" w:rsidP="001D6A8E">
      <w:pPr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Ekkert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koma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veg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neitað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flutningssamninga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afsalað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vörnum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samkvæmt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mæli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skilyrði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ganga ekki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gegn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ákvæðum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297CC4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28.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Fyrirframgreiðslur</w:t>
      </w:r>
      <w:proofErr w:type="spellEnd"/>
    </w:p>
    <w:p w:rsidR="00297CC4" w:rsidRPr="00297CC4" w:rsidRDefault="00297CC4" w:rsidP="001D6A8E">
      <w:pPr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Leiði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flugslys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líf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-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líkamstjóns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farþega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viðkomandi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kveði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innlend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lög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inna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fyrirframgreiðslu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tafar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einstaklings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einstaklinga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réttur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krefjast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skaðabóta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skyni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koma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móts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aðkallandi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efnahagslegar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þarfir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slíkra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einstaklinga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.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slíkum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fyrirframgreiðslum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felst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ekki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viðurkenning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ábyrgðar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heimilt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þær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móti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fjárhæðum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greiðir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síðar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skaðabætur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297CC4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29.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Grundvöllur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bótakrafna</w:t>
      </w:r>
      <w:proofErr w:type="spellEnd"/>
    </w:p>
    <w:p w:rsidR="00297CC4" w:rsidRPr="00297CC4" w:rsidRDefault="00297CC4" w:rsidP="001D6A8E">
      <w:pPr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farþega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farangurs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farms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einungis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unnt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höfða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skaðabótamál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tillits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málsástæðna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hvort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reist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flutningssamningi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skaðabótarétti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öðru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hliðsjón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skilyrðum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mörkum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ábyrgðar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sett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tillits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hverjir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hafa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rétt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höfða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mál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réttur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hvers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slíkri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málshöfðun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unnt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dæmdar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skaðabætur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fælingar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aðrar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bætur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ekki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eiginlegar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skaðabætur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297CC4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30.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Starfsmenn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umboðsmenn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Uppsöfnun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krafna</w:t>
      </w:r>
      <w:proofErr w:type="spellEnd"/>
    </w:p>
    <w:p w:rsidR="00297CC4" w:rsidRPr="00297CC4" w:rsidRDefault="00297CC4" w:rsidP="001D6A8E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1.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mál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höfðað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gegn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starfsmanni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umboðsmanni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vegna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tjóns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fjallar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fyrrnefndum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starfsmanni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umboðsmanni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heimilt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sig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þær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ábyrgðarleysisástæður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takmarkanir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ábyrgð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sjálfum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heimilt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sig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samkvæmt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sannað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hafi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framkvæmt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störf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sín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innan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verksviðs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síns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1D6A8E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2.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Heildarfjárhæð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unnt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starfsmenn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umboðsmenn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dæmda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greiða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fyrrnefndu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tilviki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innan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fyrrnefndra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marka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1D6A8E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3.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Ákvæði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1. og 2. mgr.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þessarar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greinar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gilda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ekki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nema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tilliti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farms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sannað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tjónið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hafi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orðið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vegna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athafnar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athafnaleysis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starfsmannanna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umboðsmannanna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viðhaft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skyni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valda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tjóni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rekja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gáleysis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viðkomandi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hefði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mátt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vita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tjón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myndi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sennilega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hljótast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slíkri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athöfn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athafnaleysi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297CC4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31.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Kvörtun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borin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tæka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tíð</w:t>
      </w:r>
      <w:proofErr w:type="spellEnd"/>
    </w:p>
    <w:p w:rsidR="00297CC4" w:rsidRPr="00297CC4" w:rsidRDefault="00297CC4" w:rsidP="001D6A8E">
      <w:pPr>
        <w:tabs>
          <w:tab w:val="left" w:pos="567"/>
        </w:tabs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1. </w:t>
      </w:r>
      <w:r w:rsidRPr="00297CC4">
        <w:rPr>
          <w:rFonts w:ascii="Times New Roman" w:hAnsi="Times New Roman" w:cs="Times New Roman"/>
          <w:sz w:val="21"/>
          <w:szCs w:val="21"/>
        </w:rPr>
        <w:tab/>
        <w:t xml:space="preserve">Taki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afhenda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innritaðan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farangur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farm,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farangri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farmi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kvörtun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gildir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órannsökuðu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máli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sönnun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hafi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afhentur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góðu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ástandi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samræmi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farseðil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greinargerð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varðveitt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öðrum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hætti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2. mgr. 3. gr. og 2.mgr. 4. gr.</w:t>
      </w:r>
    </w:p>
    <w:p w:rsidR="00297CC4" w:rsidRPr="00297CC4" w:rsidRDefault="00297CC4" w:rsidP="001D6A8E">
      <w:pPr>
        <w:tabs>
          <w:tab w:val="left" w:pos="567"/>
        </w:tabs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2.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tjón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viðtakanda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kvörtun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jafnskjótt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síðar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sjö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dögum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eftir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tekið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innrituðum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farangri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fjórtán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dögum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farm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ræða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töf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ræða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kvörtun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tuttugu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dagur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liðinn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farangur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farmur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var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taks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viðtakanda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1D6A8E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lastRenderedPageBreak/>
        <w:t>3.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Kvartanir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skriflega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liðnir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tímafrestir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greinir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1D6A8E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4.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krafa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ekki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borin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liðnir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tímafrestir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greinir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fær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málshöfðun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ekki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staðist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gegn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nema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hafi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sviksamlega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ráði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sínu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297CC4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32.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Andlát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skaðabótaskylds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aðila</w:t>
      </w:r>
      <w:proofErr w:type="spellEnd"/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Falli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skaðabótaskyldur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fær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málshöfðun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staðist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samkvæmt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skilmálum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gegn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dánarbú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lögum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samkvæmt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297CC4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33.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Lögsaga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dómstóla</w:t>
      </w:r>
      <w:proofErr w:type="spellEnd"/>
    </w:p>
    <w:p w:rsidR="00297CC4" w:rsidRPr="00297CC4" w:rsidRDefault="00297CC4" w:rsidP="001D6A8E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1. 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Skaðabótamál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höfða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stefnanda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landsvæði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aðildarríkis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annað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hvort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dómstóli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lögheimili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hefur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aðalskrifstofu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sína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útibú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gerði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hönd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dómstóli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ákvörðunarstað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1D6A8E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2.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Heimilt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skaðabætur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vegna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líf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-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líkamstjóns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farþega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höfða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mál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þeirra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dómstóla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1. mgr.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þessarar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greinar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landsvæði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aðildarríkis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farþeginn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hafði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aðalaðsetur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fasta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búsetu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slysið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þangað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þaðan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framkvæmir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farþegaflutninga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lofti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annaðhvort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sínum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eigin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loftförum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loftförum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annars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samkvæmt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viðskiptasamningi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fyrrnefndur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stjórnar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starfsemi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sinni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sviði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farþegaflutninga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lofti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starfsstöð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leigir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sjálfur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annar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hefur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viðskiptasamning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1D6A8E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3.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2. mgr.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merkir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:</w:t>
      </w:r>
    </w:p>
    <w:p w:rsidR="00297CC4" w:rsidRPr="00297CC4" w:rsidRDefault="00297CC4" w:rsidP="001D6A8E">
      <w:pPr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a.</w:t>
      </w:r>
      <w:r w:rsidRPr="00297CC4">
        <w:rPr>
          <w:rFonts w:ascii="Times New Roman" w:hAnsi="Times New Roman" w:cs="Times New Roman"/>
          <w:sz w:val="21"/>
          <w:szCs w:val="21"/>
        </w:rPr>
        <w:tab/>
        <w:t>„</w:t>
      </w:r>
      <w:proofErr w:type="spellStart"/>
      <w:proofErr w:type="gramStart"/>
      <w:r w:rsidRPr="00297CC4">
        <w:rPr>
          <w:rFonts w:ascii="Times New Roman" w:hAnsi="Times New Roman" w:cs="Times New Roman"/>
          <w:sz w:val="21"/>
          <w:szCs w:val="21"/>
        </w:rPr>
        <w:t>viðskiptasamningur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“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</w:t>
      </w:r>
      <w:proofErr w:type="spellEnd"/>
      <w:proofErr w:type="gram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ekki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umboðssamningur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gerður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milli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flytjenda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sameiginlega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þjónustu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veita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sviði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farþegaflutninga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lofti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;</w:t>
      </w:r>
    </w:p>
    <w:p w:rsidR="00297CC4" w:rsidRPr="00297CC4" w:rsidRDefault="00297CC4" w:rsidP="001D6A8E">
      <w:pPr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b.</w:t>
      </w:r>
      <w:r w:rsidRPr="00297CC4">
        <w:rPr>
          <w:rFonts w:ascii="Times New Roman" w:hAnsi="Times New Roman" w:cs="Times New Roman"/>
          <w:sz w:val="21"/>
          <w:szCs w:val="21"/>
        </w:rPr>
        <w:tab/>
        <w:t>„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aðalaðsetur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föst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 w:rsidRPr="00297CC4">
        <w:rPr>
          <w:rFonts w:ascii="Times New Roman" w:hAnsi="Times New Roman" w:cs="Times New Roman"/>
          <w:sz w:val="21"/>
          <w:szCs w:val="21"/>
        </w:rPr>
        <w:t>búseta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“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eitt</w:t>
      </w:r>
      <w:proofErr w:type="spellEnd"/>
      <w:proofErr w:type="gramEnd"/>
      <w:r w:rsidRPr="00297CC4">
        <w:rPr>
          <w:rFonts w:ascii="Times New Roman" w:hAnsi="Times New Roman" w:cs="Times New Roman"/>
          <w:sz w:val="21"/>
          <w:szCs w:val="21"/>
        </w:rPr>
        <w:t xml:space="preserve"> fast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varanlegt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heimili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farþegi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hefur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slys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Þjóðerni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farþega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ekki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ákvörðunarástæða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samhengi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1D6A8E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4.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Leysa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úr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öllum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réttarfarságreiningi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samkvæmt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lögum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ríkis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mál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höfðað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D152C7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34.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Gerðardómur</w:t>
      </w:r>
      <w:proofErr w:type="spellEnd"/>
    </w:p>
    <w:p w:rsidR="00297CC4" w:rsidRPr="00297CC4" w:rsidRDefault="00297CC4" w:rsidP="001D6A8E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1.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farms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heimilt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samkvæmt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ákvæðum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mæla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deila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snýst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ábyrgð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samkvæmt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skuli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lögð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gerðardóm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úrlausnar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Slíkt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samkomulag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skriflegt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1D6A8E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2.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Gerðardómsmeðferð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kröfuhafa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innan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einhverrar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þeirrar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lögsögu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33. gr.</w:t>
      </w:r>
    </w:p>
    <w:p w:rsidR="00297CC4" w:rsidRPr="00297CC4" w:rsidRDefault="00297CC4" w:rsidP="001D6A8E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3.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Gerðardómsmaður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gerðardómurinn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beita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ákvæðum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1D6A8E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4.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Líta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svo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ákvæði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2. og 3. mgr.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þessarar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greinar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hluti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sérhverju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gerðardómsákvæði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-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samkomulagi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sérhver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áskilnaður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slíku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gerðardómsákvæði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samkomulagi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brýtur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bága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fyrrnefnd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ákvæði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ógildur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D152C7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35.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Frestur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málshöfðunar</w:t>
      </w:r>
      <w:proofErr w:type="spellEnd"/>
    </w:p>
    <w:p w:rsidR="00297CC4" w:rsidRPr="00297CC4" w:rsidRDefault="00297CC4" w:rsidP="001D6A8E">
      <w:pPr>
        <w:tabs>
          <w:tab w:val="left" w:pos="567"/>
        </w:tabs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lastRenderedPageBreak/>
        <w:t>1.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Réttur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höfða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skaðabótamál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fellur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niður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mál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ekki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höfðað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innan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tveggja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komu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loftfars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ákvörðunarstaðar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degi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loftfarið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skyldi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koma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þangað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degi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stöðvaðist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1D6A8E">
      <w:pPr>
        <w:tabs>
          <w:tab w:val="left" w:pos="567"/>
        </w:tabs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2.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Beita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lögum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ríkis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skaðabótamál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höfðað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aðferð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reikna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út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fyrrnefndan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frest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D152C7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36.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Gagnfær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flutningur</w:t>
      </w:r>
      <w:proofErr w:type="spellEnd"/>
    </w:p>
    <w:p w:rsidR="00297CC4" w:rsidRPr="00297CC4" w:rsidRDefault="00297CC4" w:rsidP="001D6A8E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1.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fleiri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flytjendur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eftir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öðrum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framkvæma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fellur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undir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skilgreininguna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sett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3. mgr. 1. gr.,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fylgja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reglunum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settar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tekur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farþegum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farangri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farmi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litið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flutningssamningnum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marki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samningurinn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hluta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flutningsins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honum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framkvæma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1D6A8E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2. 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slíkan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ræða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farþegi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taka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rétti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skaðabóta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einungis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beint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kröfum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sínum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annaðist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slysið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töfin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hafi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annaðist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upphafsáfanga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flutningsins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tekið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sig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ábyrgð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leiðarenda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sérstökum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1D6A8E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3.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farangur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farm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farþegi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sendandi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þó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jafnan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beint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kröfum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sínum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annaðist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upphafsáfanga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flutningsins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rétt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afhendingar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farangurs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farms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jafnan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beint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kröfum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sínum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tók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lokaáfanga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flutningsins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auki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beint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kröfum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sínum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annaðist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eyðilegging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hvarf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tjón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töf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Flytjendur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ábyrgir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sameiginlega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sig,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gagnvart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farþega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gagnvart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sendanda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viðtakanda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D152C7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37.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Endurkröfuréttur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hendur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þriðju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aðilum</w:t>
      </w:r>
      <w:proofErr w:type="spellEnd"/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Ekkert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koma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veg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rétt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skaðabótum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samkvæmt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ákvæðum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endurkröfurétt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hendur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hvaða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þriðja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D152C7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IV. KAFLI</w:t>
      </w:r>
    </w:p>
    <w:p w:rsidR="00297CC4" w:rsidRPr="00297CC4" w:rsidRDefault="00297CC4" w:rsidP="00D152C7">
      <w:pPr>
        <w:jc w:val="center"/>
        <w:rPr>
          <w:rFonts w:ascii="Times New Roman" w:hAnsi="Times New Roman" w:cs="Times New Roman"/>
          <w:sz w:val="21"/>
          <w:szCs w:val="21"/>
        </w:rPr>
      </w:pP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Fjölhátta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flutningur</w:t>
      </w:r>
      <w:proofErr w:type="spellEnd"/>
    </w:p>
    <w:p w:rsidR="00297CC4" w:rsidRPr="00297CC4" w:rsidRDefault="00297CC4" w:rsidP="00D152C7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38.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Fjölhátta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flutningur</w:t>
      </w:r>
      <w:proofErr w:type="spellEnd"/>
    </w:p>
    <w:p w:rsidR="00297CC4" w:rsidRPr="00297CC4" w:rsidRDefault="00297CC4" w:rsidP="001D6A8E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1.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ræðir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fjölhátta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nokkru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leyti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loftfari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nokkru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leyti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öðru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flutningstæki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skulu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ákvæði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fyrirvara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4. mgr. 18. gr.,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einungis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taka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hluta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lofti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tilskildu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lofti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ræða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fullnægi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skilmálum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1. gr.</w:t>
      </w:r>
    </w:p>
    <w:p w:rsidR="00297CC4" w:rsidRPr="00297CC4" w:rsidRDefault="00297CC4" w:rsidP="001D6A8E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2.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ræðir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fjölhátta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ekkert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koma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veg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setji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skilmála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inn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viðeigandi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skjal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lofti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aðrar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tegundir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tilskildu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ákvæðum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hlítt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lofti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D152C7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V. KAFLI</w:t>
      </w:r>
    </w:p>
    <w:p w:rsidR="00297CC4" w:rsidRPr="00297CC4" w:rsidRDefault="00297CC4" w:rsidP="00D152C7">
      <w:pPr>
        <w:jc w:val="center"/>
        <w:rPr>
          <w:rFonts w:ascii="Times New Roman" w:hAnsi="Times New Roman" w:cs="Times New Roman"/>
          <w:sz w:val="21"/>
          <w:szCs w:val="21"/>
        </w:rPr>
      </w:pP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loftleiðis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annar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samningsbundni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framkvæmir</w:t>
      </w:r>
      <w:proofErr w:type="spellEnd"/>
    </w:p>
    <w:p w:rsidR="00297CC4" w:rsidRPr="00297CC4" w:rsidRDefault="00297CC4" w:rsidP="00D152C7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39.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Samningsbundinn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raun</w:t>
      </w:r>
      <w:proofErr w:type="spellEnd"/>
    </w:p>
    <w:p w:rsidR="00297CC4" w:rsidRPr="00297CC4" w:rsidRDefault="00297CC4" w:rsidP="001D6A8E">
      <w:pPr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7CC4">
        <w:rPr>
          <w:rFonts w:ascii="Times New Roman" w:hAnsi="Times New Roman" w:cs="Times New Roman"/>
          <w:sz w:val="21"/>
          <w:szCs w:val="21"/>
        </w:rPr>
        <w:lastRenderedPageBreak/>
        <w:t>Ákvæði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kafla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gilda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hér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eftir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nefndur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„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samningsbundinn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“)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ábyrgðaraðili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flutningssamning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samkvæmt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ákvæðum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farþega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sendanda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fyrirsvari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farþegann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sendandann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annar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hér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eftir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nefndur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„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raun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“)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framkvæmir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allan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hluta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umboði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samningsbundna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ekki,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slíkan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hluta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framkvæmir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gagnfæran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skilningi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. Gera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ráð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slíkt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umboð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ræða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nema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sannað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gagnstæða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D152C7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40.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Ábyrgð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samningsbundins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raun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hvors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sig</w:t>
      </w:r>
    </w:p>
    <w:p w:rsidR="00297CC4" w:rsidRPr="00297CC4" w:rsidRDefault="00297CC4" w:rsidP="001D6A8E">
      <w:pPr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Framkvæmi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raun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allan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hluta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gildir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samkvæmt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flutningssamningnum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39. gr.,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skulu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ákvæði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gilda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bæði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samningsbundna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raun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nema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kveðið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annað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kafla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fyrrnefnda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allan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fjallað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flutningssamningnum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síðarnefnda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einungis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framkvæmir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D152C7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41.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Sameiginleg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ábyrgð</w:t>
      </w:r>
      <w:proofErr w:type="spellEnd"/>
    </w:p>
    <w:p w:rsidR="00297CC4" w:rsidRPr="00297CC4" w:rsidRDefault="00297CC4" w:rsidP="001D6A8E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1.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Líta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svo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athöfn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athafnaleysi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raun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starfsmanna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umboðsmanna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innan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verksviðs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þeirra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einnig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athöfn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athafnaleysi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samningsbundna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raun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framkvæmir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1D6A8E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2.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Líta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svo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athöfn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athafnaleysi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samningsbundins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starfsmanna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umboðsmanna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innan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verksviðs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þeirra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einnig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athöfn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athafnaleysi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raun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raun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framkvæmir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Engin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slík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athöfn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athafnaleysi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raun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skaðabótaskyldan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umfram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þær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fjárhæðir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21., 22., 23. og 24. gr.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Allir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sérsamningar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samningsbundni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tekst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skyldur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herðar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kveður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ekki á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fellur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réttindum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vörnum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heimilar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sérhver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yfirlýsing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hagsmuni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tengjast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afhendingu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ákvörðunarstað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fjallað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í 22. gr.,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skulu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ekki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binda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raun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nema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hafi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samþykkt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sérstaklega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D152C7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42.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Viðtakandi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kvartana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fyrirmæla</w:t>
      </w:r>
      <w:proofErr w:type="spellEnd"/>
    </w:p>
    <w:p w:rsidR="00297CC4" w:rsidRPr="00297CC4" w:rsidRDefault="00297CC4" w:rsidP="001D6A8E">
      <w:pPr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Kvartanir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bornar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fyrirmæli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honum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gefin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samkvæmt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skulu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hafa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sömu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þýðingu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hvort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beint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samningsbundna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raun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Fyrirmæli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12. gr.,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skulu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hins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aðeins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gild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beint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samningsbundna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D152C7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43.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Starfsmenn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umboðsmenn</w:t>
      </w:r>
      <w:proofErr w:type="spellEnd"/>
    </w:p>
    <w:p w:rsidR="00297CC4" w:rsidRPr="00297CC4" w:rsidRDefault="00297CC4" w:rsidP="001D6A8E">
      <w:pPr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raun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framkvæmir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öllum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starfsmönnum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umboðsmönnum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samningsbundna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heimilt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sanna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hafi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haldið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sig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innan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verksviðs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síns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sig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þær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ábyrgðarleysisástæður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takmarkanir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ábyrgð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stafsmenn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umboðsmenn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hjá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heimilt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sig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samkvæmt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nema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sannað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hafi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hagað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hætti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kemur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veg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unnt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skírskota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marka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ábyrgðar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samkvæmt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D152C7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44.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Uppsöfnun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skaðabóta</w:t>
      </w:r>
      <w:proofErr w:type="spellEnd"/>
    </w:p>
    <w:p w:rsidR="00297CC4" w:rsidRPr="00297CC4" w:rsidRDefault="00297CC4" w:rsidP="001D6A8E">
      <w:pPr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raun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framkvæmir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skulu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samanlagðar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bætur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honum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samningsbundna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starfsmönnum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umboðsmönnum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þeirra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framkvæma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störf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sín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lastRenderedPageBreak/>
        <w:t>innan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verksviðs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síns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ekki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hærri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nemur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hæstu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fjárhæð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annaðhvort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samningsbundna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raun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yrði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gert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inna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samkvæmt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engum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getið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skylt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greiða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fjárhæð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yfir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mörkum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gilda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D152C7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45.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Viðtakandi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krafna</w:t>
      </w:r>
      <w:proofErr w:type="spellEnd"/>
    </w:p>
    <w:p w:rsidR="00297CC4" w:rsidRPr="00297CC4" w:rsidRDefault="00297CC4" w:rsidP="001D6A8E">
      <w:pPr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Stefnandi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raun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framkvæmir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beint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bótakröfum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sínum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eigin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hvort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gegn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raun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samningsbundna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hverjum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sig.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málið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einvörðungu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höfðað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gegn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öðrum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fyrrnefndra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flytjenda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honum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réttur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krefjast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komi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einnig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meðferð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rétti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slík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málsmeðferð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áhrif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slíkrar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aðkomu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eftir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lögum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ríkis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mál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höfðað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D152C7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46.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Viðbótarlögsaga</w:t>
      </w:r>
      <w:proofErr w:type="spellEnd"/>
    </w:p>
    <w:p w:rsidR="00297CC4" w:rsidRPr="00297CC4" w:rsidRDefault="00297CC4" w:rsidP="001D6A8E">
      <w:pPr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Höfða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skaðabótamál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fjallað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í 45. gr.,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stefnanda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landsvæði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einhvers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aðildarríkis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annaðhvort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dómstóli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heimilt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höfða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mál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gegn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samningsbundna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kveðið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um í 33. gr.,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dómstóli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hefur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lögsögu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raun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lögheimili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hefur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aðalskrifstofu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sína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D152C7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47.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Ógilding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samningsákvæða</w:t>
      </w:r>
      <w:proofErr w:type="spellEnd"/>
    </w:p>
    <w:p w:rsidR="00297CC4" w:rsidRPr="00297CC4" w:rsidRDefault="00297CC4" w:rsidP="001D6A8E">
      <w:pPr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Öll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samningsákvæði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miða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leysa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samningsbundna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raun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undan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ábyrgð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samkvæmt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kafla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ákvarða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lægri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ábyrgðarmörk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gilda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samkvæmt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kafla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skulu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ógild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ógildingu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sérhvers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slíks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ákvæðis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felst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ekki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ógilding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samningsins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heild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ákvæði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gilda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eftir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1D6A8E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48.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Innbyrðis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tengsl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samningsbundins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raun</w:t>
      </w:r>
      <w:proofErr w:type="spellEnd"/>
    </w:p>
    <w:p w:rsidR="00297CC4" w:rsidRPr="00297CC4" w:rsidRDefault="00297CC4" w:rsidP="001D6A8E">
      <w:pPr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Ekkert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kafla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hefur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áhrif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réttindi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skyldur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flytjendanna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gagnvart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hverjum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öðrum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talinn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endurkröfurétt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rétt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skaðleysisbóta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fyrirvara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ákvæði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45. gr.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D152C7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VI. KAFLI</w:t>
      </w:r>
    </w:p>
    <w:p w:rsidR="00297CC4" w:rsidRPr="00297CC4" w:rsidRDefault="00297CC4" w:rsidP="00D152C7">
      <w:pPr>
        <w:jc w:val="center"/>
        <w:rPr>
          <w:rFonts w:ascii="Times New Roman" w:hAnsi="Times New Roman" w:cs="Times New Roman"/>
          <w:sz w:val="21"/>
          <w:szCs w:val="21"/>
        </w:rPr>
      </w:pP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Önnur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ákvæði</w:t>
      </w:r>
      <w:proofErr w:type="spellEnd"/>
    </w:p>
    <w:p w:rsidR="00297CC4" w:rsidRPr="00297CC4" w:rsidRDefault="00297CC4" w:rsidP="00D152C7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49.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Tilskilið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gildissvið</w:t>
      </w:r>
      <w:proofErr w:type="spellEnd"/>
    </w:p>
    <w:p w:rsidR="00297CC4" w:rsidRPr="00297CC4" w:rsidRDefault="00297CC4" w:rsidP="001D6A8E">
      <w:pPr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Ógild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skulu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hvers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konar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ákvæði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flutningssamningi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hvers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konar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sérsamningar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gerðir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tjón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miða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ganga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hjá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reglum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varðandi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lög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eftir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varðandi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lögsögu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D152C7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50.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Vátrygging</w:t>
      </w:r>
      <w:proofErr w:type="spellEnd"/>
    </w:p>
    <w:p w:rsidR="00297CC4" w:rsidRPr="00297CC4" w:rsidRDefault="00297CC4" w:rsidP="001D6A8E">
      <w:pPr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Aðildarríki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skulu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skylda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flytjendur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sína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viðhalda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fullnægjandi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vátryggingu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upp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ábyrgð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þeirra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samkvæmt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Aðildarríki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krafið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starfsemi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landsvæði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leggi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gögn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staðfestingar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viðhaldi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fullnægjandi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vátryggingu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upp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ábyrgð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samkvæmt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D152C7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lastRenderedPageBreak/>
        <w:t xml:space="preserve">51.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óvenjulegar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aðstæður</w:t>
      </w:r>
      <w:proofErr w:type="spellEnd"/>
    </w:p>
    <w:p w:rsidR="00297CC4" w:rsidRPr="00297CC4" w:rsidRDefault="00297CC4" w:rsidP="001D6A8E">
      <w:pPr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Ákvæði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3.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5. gr. og 7. og 8. gr.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skjalahald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gilda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ekki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ræðir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óvenjulegar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aðstæður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utan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venjulegs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rekstrarsviðs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D152C7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52.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Merking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daga</w:t>
      </w:r>
      <w:proofErr w:type="spellEnd"/>
    </w:p>
    <w:p w:rsidR="00297CC4" w:rsidRPr="00297CC4" w:rsidRDefault="00297CC4" w:rsidP="001D6A8E">
      <w:pPr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7CC4">
        <w:rPr>
          <w:rFonts w:ascii="Times New Roman" w:hAnsi="Times New Roman" w:cs="Times New Roman"/>
          <w:sz w:val="21"/>
          <w:szCs w:val="21"/>
        </w:rPr>
        <w:t>Orðið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„</w:t>
      </w:r>
      <w:proofErr w:type="spellStart"/>
      <w:proofErr w:type="gramStart"/>
      <w:r w:rsidRPr="00297CC4">
        <w:rPr>
          <w:rFonts w:ascii="Times New Roman" w:hAnsi="Times New Roman" w:cs="Times New Roman"/>
          <w:sz w:val="21"/>
          <w:szCs w:val="21"/>
        </w:rPr>
        <w:t>dagar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“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merkir</w:t>
      </w:r>
      <w:proofErr w:type="spellEnd"/>
      <w:proofErr w:type="gram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almanaksdaga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ekki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virka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daga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D152C7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VII. KAFLI</w:t>
      </w:r>
    </w:p>
    <w:p w:rsidR="00297CC4" w:rsidRPr="00297CC4" w:rsidRDefault="00297CC4" w:rsidP="00D152C7">
      <w:pPr>
        <w:jc w:val="center"/>
        <w:rPr>
          <w:rFonts w:ascii="Times New Roman" w:hAnsi="Times New Roman" w:cs="Times New Roman"/>
          <w:sz w:val="21"/>
          <w:szCs w:val="21"/>
        </w:rPr>
      </w:pP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Lokaákvæði</w:t>
      </w:r>
      <w:proofErr w:type="spellEnd"/>
    </w:p>
    <w:p w:rsidR="00297CC4" w:rsidRPr="00297CC4" w:rsidRDefault="00297CC4" w:rsidP="00D152C7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53.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Undirritun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fullgilding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gildistaka</w:t>
      </w:r>
      <w:proofErr w:type="spellEnd"/>
    </w:p>
    <w:p w:rsidR="00297CC4" w:rsidRPr="00297CC4" w:rsidRDefault="00297CC4" w:rsidP="001D6A8E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1.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liggja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frammi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undirritunar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Montreal 28.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maí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1999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hálfu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þátttökuríkja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alþjóðlegu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ráðstefnunnar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flugrétt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var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haldin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Montreal 10.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28.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maí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1999.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Samningurinn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liggja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frammi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undirritunar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öll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ríki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höfuðstöðvum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Alþjóðaflugmálastofnunarinnar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Montreal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öðlast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gildi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samkvæmt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ákvæðum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6. mgr.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þessarar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greinar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1D6A8E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2.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einnig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liggja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frammi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undirritunar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hálfu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svæðisbundinna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stofnana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sviði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efnahagslegs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samruna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.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merkir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„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svæðisbundin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stofnun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sviði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efnahagslegs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 w:rsidRPr="00297CC4">
        <w:rPr>
          <w:rFonts w:ascii="Times New Roman" w:hAnsi="Times New Roman" w:cs="Times New Roman"/>
          <w:sz w:val="21"/>
          <w:szCs w:val="21"/>
        </w:rPr>
        <w:t>samruna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“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stofnun</w:t>
      </w:r>
      <w:proofErr w:type="spellEnd"/>
      <w:proofErr w:type="gram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fullvalda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ríki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tilteknu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svæði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koma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fót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réttbær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tiltekin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mál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fjallar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hefur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fullt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umboð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undirrita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þennan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fullgilda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staðfesta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samþykkja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gerast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honum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Vísun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„</w:t>
      </w:r>
      <w:proofErr w:type="spellStart"/>
      <w:proofErr w:type="gramStart"/>
      <w:r w:rsidRPr="00297CC4">
        <w:rPr>
          <w:rFonts w:ascii="Times New Roman" w:hAnsi="Times New Roman" w:cs="Times New Roman"/>
          <w:sz w:val="21"/>
          <w:szCs w:val="21"/>
        </w:rPr>
        <w:t>aðildarríkis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“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proofErr w:type="gramEnd"/>
      <w:r w:rsidRPr="00297CC4">
        <w:rPr>
          <w:rFonts w:ascii="Times New Roman" w:hAnsi="Times New Roman" w:cs="Times New Roman"/>
          <w:sz w:val="21"/>
          <w:szCs w:val="21"/>
        </w:rPr>
        <w:t xml:space="preserve"> „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aðildarríkja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“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annars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staðar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2. mgr. 1. gr., b-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1. mgr. 3. gr., b-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5. gr., 23., 33. og 46. gr. og b-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57. gr.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gildir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jafnt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svæðisbundna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stofnun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sviði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efnahagslegs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samruna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24. gr.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gildir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vísun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„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meirihluta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 w:rsidRPr="00297CC4">
        <w:rPr>
          <w:rFonts w:ascii="Times New Roman" w:hAnsi="Times New Roman" w:cs="Times New Roman"/>
          <w:sz w:val="21"/>
          <w:szCs w:val="21"/>
        </w:rPr>
        <w:t>aðildarríkjanna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“ og</w:t>
      </w:r>
      <w:proofErr w:type="gramEnd"/>
      <w:r w:rsidRPr="00297CC4">
        <w:rPr>
          <w:rFonts w:ascii="Times New Roman" w:hAnsi="Times New Roman" w:cs="Times New Roman"/>
          <w:sz w:val="21"/>
          <w:szCs w:val="21"/>
        </w:rPr>
        <w:t xml:space="preserve"> „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þriðjungs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aðildarríkjanna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“ ekki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svæðisbundna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stofnun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sviði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efnahagslegs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samruna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1D6A8E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3.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fyrirvara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fullgildingu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hálfu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ríkja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svæðisbundinna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stofnana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sviði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efnahagslegs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samruna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hafa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undirritað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1D6A8E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4.</w:t>
      </w:r>
      <w:r w:rsidR="00D152C7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Öllum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ríkjum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svæðisbundnum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stofnunum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sviði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efnahagslegs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samruna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undirrita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ekki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þennan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heimilt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staðfesta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samþykkja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þennan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gerast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honum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hvenær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1D6A8E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5.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Afhenda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skjöl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fullgildingu,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staðfestingu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samþykki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aðild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Alþjóðaflugmálastofnuninni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vörslu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hér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tilnefnd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vörsluaðili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samningsins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1D6A8E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6.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tekur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gildi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milli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þeirra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ríkja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hafa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afhent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skjal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sitt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fullgildingu,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staðfestingu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samþykki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aðild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vörslu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sextugasta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degi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eftir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þrítugasta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skjalið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efnis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hefur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afhent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vörsluaðila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Skjal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stofnun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sviði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efnahagslegs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samruna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afhendir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vörslu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ómeðtalið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málsgrein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1D6A8E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7.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tekur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gildi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önnur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ríki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aðrar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stofnanir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sviði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efnahagslegs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samruna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sextíu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dögum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eftir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dag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skjal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fullgildingu,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staðfestingu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samþykki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aðild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var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afhent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vörslu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1D6A8E">
      <w:pPr>
        <w:tabs>
          <w:tab w:val="left" w:pos="567"/>
        </w:tabs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8.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Vörsluaðili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tilkynna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öllum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undirritunaraðilum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aðildarríkjum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tafar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um:</w:t>
      </w:r>
    </w:p>
    <w:p w:rsidR="00297CC4" w:rsidRPr="00297CC4" w:rsidRDefault="00297CC4" w:rsidP="001D6A8E">
      <w:pPr>
        <w:tabs>
          <w:tab w:val="left" w:pos="567"/>
          <w:tab w:val="left" w:pos="851"/>
        </w:tabs>
        <w:ind w:left="567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a.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sérhverja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undirritun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dagsetningu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hennar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;</w:t>
      </w:r>
    </w:p>
    <w:p w:rsidR="00297CC4" w:rsidRPr="00297CC4" w:rsidRDefault="00297CC4" w:rsidP="001D6A8E">
      <w:pPr>
        <w:tabs>
          <w:tab w:val="left" w:pos="567"/>
          <w:tab w:val="left" w:pos="851"/>
        </w:tabs>
        <w:ind w:left="567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b.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sérhverja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afhendingu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skjals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fullgildingu,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staðfestingu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samþykki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aðild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dagsetningu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hennar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;</w:t>
      </w:r>
    </w:p>
    <w:p w:rsidR="00297CC4" w:rsidRPr="00297CC4" w:rsidRDefault="00297CC4" w:rsidP="001D6A8E">
      <w:pPr>
        <w:tabs>
          <w:tab w:val="left" w:pos="851"/>
        </w:tabs>
        <w:ind w:left="567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lastRenderedPageBreak/>
        <w:t>c.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dagsetningu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gildistöku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;</w:t>
      </w:r>
    </w:p>
    <w:p w:rsidR="00297CC4" w:rsidRPr="00297CC4" w:rsidRDefault="00297CC4" w:rsidP="001D6A8E">
      <w:pPr>
        <w:tabs>
          <w:tab w:val="left" w:pos="851"/>
        </w:tabs>
        <w:ind w:left="567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d.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dagsetningu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gildistöku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breyttra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marka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ábyrgðar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ákveðin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samkvæmt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;</w:t>
      </w:r>
    </w:p>
    <w:p w:rsidR="00297CC4" w:rsidRPr="00297CC4" w:rsidRDefault="00297CC4" w:rsidP="001D6A8E">
      <w:pPr>
        <w:tabs>
          <w:tab w:val="left" w:pos="851"/>
        </w:tabs>
        <w:ind w:left="567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e.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sérhverja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uppsögn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skv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 54. gr.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D152C7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54.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Uppsögn</w:t>
      </w:r>
      <w:proofErr w:type="spellEnd"/>
    </w:p>
    <w:p w:rsidR="00297CC4" w:rsidRPr="00297CC4" w:rsidRDefault="00297CC4" w:rsidP="001D6A8E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1. 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Öllum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aðildarríkjum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heimilt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segja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upp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skriflegri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tilkynningu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vörsluaðila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1D6A8E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2. 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Uppsögn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taka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gildi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eitthundrað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áttatíu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dögum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eftir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dag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vörsluaðili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tekur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tilkynningu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uppsögn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D152C7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55.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Tengsl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gerninga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samkvæmt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Varsjársamningnum</w:t>
      </w:r>
      <w:proofErr w:type="spellEnd"/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öllum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reglum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gilda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milli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loftleiðis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:</w:t>
      </w:r>
    </w:p>
    <w:p w:rsidR="00297CC4" w:rsidRPr="00297CC4" w:rsidRDefault="00297CC4" w:rsidP="003C70A0">
      <w:pPr>
        <w:tabs>
          <w:tab w:val="left" w:pos="567"/>
        </w:tabs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1.</w:t>
      </w:r>
      <w:r w:rsidRPr="00297CC4">
        <w:rPr>
          <w:rFonts w:ascii="Times New Roman" w:hAnsi="Times New Roman" w:cs="Times New Roman"/>
          <w:sz w:val="21"/>
          <w:szCs w:val="21"/>
        </w:rPr>
        <w:tab/>
        <w:t xml:space="preserve">milli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aðildarríkja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krafti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almennt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:</w:t>
      </w:r>
    </w:p>
    <w:p w:rsidR="00297CC4" w:rsidRPr="00297CC4" w:rsidRDefault="00297CC4" w:rsidP="003C70A0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a.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samræmingu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nokkurra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reglna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varðandi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loftflutninga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milli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var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undirritaður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Varsjá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12.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október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1929 (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hér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eftir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nefndur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Varsjársamningurinn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);</w:t>
      </w:r>
    </w:p>
    <w:p w:rsidR="00297CC4" w:rsidRPr="00297CC4" w:rsidRDefault="00297CC4" w:rsidP="003C70A0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b.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bókuninni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breytingar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samræmingu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nokkurra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reglna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varðandi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loftflutninga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milli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undirritaður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Varsjá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12.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október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1929,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var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gerð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Haag 28.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september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1955, (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hér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eftir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nefnd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Haag-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bókunin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);</w:t>
      </w:r>
    </w:p>
    <w:p w:rsidR="00297CC4" w:rsidRPr="00297CC4" w:rsidRDefault="00297CC4" w:rsidP="003C70A0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c.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samræmingu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tiltekinna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reglna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milli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loftleiðis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annar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samningsbundni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flytjandi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framkvæmir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viðbót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Varsjársamninginn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undirritaður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var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Gvadalajara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18.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september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1961, (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hér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eftir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nefndur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Gvadalajara-samningurinn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);</w:t>
      </w:r>
    </w:p>
    <w:p w:rsidR="00297CC4" w:rsidRPr="00297CC4" w:rsidRDefault="00297CC4" w:rsidP="003C70A0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d.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bókuninni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breytingar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samræmingu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nokkurra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reglna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varðandi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loftflutninga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milli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var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undirritaður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Varsjá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12.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október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1929,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henni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var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breytt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bókuninni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var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gerð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Haag 28.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september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1955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undirrituð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var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Gvatemalaborg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8. mars 1971 (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hér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eftir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nefnd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Gvatemalaborgarbókunin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);</w:t>
      </w:r>
    </w:p>
    <w:p w:rsidR="00297CC4" w:rsidRPr="00297CC4" w:rsidRDefault="00297CC4" w:rsidP="003C70A0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e.</w:t>
      </w:r>
      <w:r w:rsidRPr="00297CC4">
        <w:rPr>
          <w:rFonts w:ascii="Times New Roman" w:hAnsi="Times New Roman" w:cs="Times New Roman"/>
          <w:sz w:val="21"/>
          <w:szCs w:val="21"/>
        </w:rPr>
        <w:tab/>
        <w:t xml:space="preserve">1.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3.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viðbótarbókun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4. Montreal-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bókun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breytingu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Varsjársamningnum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honum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var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breytt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Haag-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bókuninni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Varsjársamningnum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honum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var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breytt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bæði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Haag-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bókuninni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Gvatemala-borgarbókuninni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voru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undirritaðar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Montreal 25.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september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1975 (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hér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eftir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nefndar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Montreal-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bókanirnar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);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</w:p>
    <w:p w:rsidR="00297CC4" w:rsidRPr="00297CC4" w:rsidRDefault="00297CC4" w:rsidP="003C70A0">
      <w:pPr>
        <w:tabs>
          <w:tab w:val="left" w:pos="567"/>
        </w:tabs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2.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innan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landsvæðis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hvaða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einstaka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aðildarríkis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krafti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viðkomandi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ríki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sé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fleiri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gerningum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a-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e-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hér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D152C7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56.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Ríki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fleiri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eitt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réttarkerfi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</w:t>
      </w:r>
      <w:proofErr w:type="spellEnd"/>
    </w:p>
    <w:p w:rsidR="00297CC4" w:rsidRPr="00297CC4" w:rsidRDefault="00297CC4" w:rsidP="003C70A0">
      <w:pPr>
        <w:tabs>
          <w:tab w:val="left" w:pos="567"/>
        </w:tabs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1.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Ráði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ríki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yfir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tveimur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fleiri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landsvæðum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ólík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réttarkerfi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málefni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fjallar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heimilt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lýsa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yfir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undirritun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fullgildingu,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staðfestingu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samþykki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gerist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honum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skuli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gilda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öllum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landsvæðum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einvörðungu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einu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þeirra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fleirum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fremur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heimilt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breytingar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þeirri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yfirlýsingu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yfirlýsingu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hvenær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kýs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3C70A0">
      <w:pPr>
        <w:tabs>
          <w:tab w:val="left" w:pos="567"/>
        </w:tabs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2.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Tilkynna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um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hverja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slíka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yfirlýsingu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vörsluaðila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taka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skýrt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hvaða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landsvæðum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samningurinn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gildir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3C70A0">
      <w:pPr>
        <w:tabs>
          <w:tab w:val="left" w:pos="56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lastRenderedPageBreak/>
        <w:t>3.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varðar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aðildarríki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gefið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hefur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út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slíka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yfirlýsingu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:</w:t>
      </w:r>
    </w:p>
    <w:p w:rsidR="00297CC4" w:rsidRPr="00297CC4" w:rsidRDefault="00297CC4" w:rsidP="003C70A0">
      <w:pPr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a.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líta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svo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vísanir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23. gr.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„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innlendra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 w:rsidRPr="00297CC4">
        <w:rPr>
          <w:rFonts w:ascii="Times New Roman" w:hAnsi="Times New Roman" w:cs="Times New Roman"/>
          <w:sz w:val="21"/>
          <w:szCs w:val="21"/>
        </w:rPr>
        <w:t>gjaldmiðla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“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eigi</w:t>
      </w:r>
      <w:proofErr w:type="spellEnd"/>
      <w:proofErr w:type="gram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gjaldmiðil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viðkomandi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landsvæðis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ríkis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; og</w:t>
      </w:r>
    </w:p>
    <w:p w:rsidR="00297CC4" w:rsidRPr="00297CC4" w:rsidRDefault="00297CC4" w:rsidP="003C70A0">
      <w:pPr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b.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vísanir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28. gr.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„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innlendra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 w:rsidRPr="00297CC4">
        <w:rPr>
          <w:rFonts w:ascii="Times New Roman" w:hAnsi="Times New Roman" w:cs="Times New Roman"/>
          <w:sz w:val="21"/>
          <w:szCs w:val="21"/>
        </w:rPr>
        <w:t>laga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“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eigi</w:t>
      </w:r>
      <w:proofErr w:type="spellEnd"/>
      <w:proofErr w:type="gram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lög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viðkomandi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landsvæðis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ríkis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D152C7">
      <w:pPr>
        <w:jc w:val="center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57. gr. –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Fyrirvarar</w:t>
      </w:r>
      <w:proofErr w:type="spellEnd"/>
    </w:p>
    <w:p w:rsidR="00297CC4" w:rsidRPr="00297CC4" w:rsidRDefault="00297CC4" w:rsidP="003C70A0">
      <w:pPr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Óheimilt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fyrirvara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þennan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þeirri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undantekningu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aðildarríki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hvenær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heimilt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lýsa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yfir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tilkynningu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vörsluaðila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gildi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ekki um:</w:t>
      </w:r>
    </w:p>
    <w:p w:rsidR="00297CC4" w:rsidRPr="00297CC4" w:rsidRDefault="00297CC4" w:rsidP="003C70A0">
      <w:pPr>
        <w:tabs>
          <w:tab w:val="left" w:pos="567"/>
          <w:tab w:val="left" w:pos="851"/>
        </w:tabs>
        <w:ind w:left="567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a.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milli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landa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loftleiðis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aðildarríki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framkvæmir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rekur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sjálft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milliliðalaust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öðrum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tilgangi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viðskiptalegum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tilgangi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gegna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hlutverki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sínu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skyldum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fullvalda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ríki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; og/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</w:p>
    <w:p w:rsidR="00297CC4" w:rsidRPr="00297CC4" w:rsidRDefault="00297CC4" w:rsidP="003C70A0">
      <w:pPr>
        <w:tabs>
          <w:tab w:val="left" w:pos="567"/>
          <w:tab w:val="left" w:pos="851"/>
        </w:tabs>
        <w:ind w:left="567"/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>b.</w:t>
      </w:r>
      <w:r w:rsidRPr="00297CC4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farþega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farms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farangurs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hernaðaryfirvöld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með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loftfari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skráð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aðildarríki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tekið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leigu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því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slík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yfirvöld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hafa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tekið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frá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allt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flutningsrými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eða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hefur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verið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gert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fyrir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þeirra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hönd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ÞESSU TIL STAÐFESTU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hafa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undirritaðir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fulltrúar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til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hafa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fullt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umboð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undirritað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þennan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  <w:bookmarkStart w:id="0" w:name="_GoBack"/>
      <w:bookmarkEnd w:id="0"/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  <w:r w:rsidRPr="00297CC4">
        <w:rPr>
          <w:rFonts w:ascii="Times New Roman" w:hAnsi="Times New Roman" w:cs="Times New Roman"/>
          <w:sz w:val="21"/>
          <w:szCs w:val="21"/>
        </w:rPr>
        <w:t xml:space="preserve">GJÖRT í Montreal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hinn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28.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maí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1999 á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arabísku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ensku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frönsku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kínversku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rússnesku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spænsku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eru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allir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textar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jafngildir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varðveittur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í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skjalasafni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Alþjóðaflugmálastofnunarinnar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skal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vörsluaðili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senda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öllum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aðildarríkjum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samnings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þessa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öllum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aðildarríkjum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Varsjársamningsins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, Haag-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bókunarinnar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Gvadalajara-samningsins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Gvatemalaborgarbókunarinnar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og Montreal-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bókananna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staðfest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afrit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af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97CC4">
        <w:rPr>
          <w:rFonts w:ascii="Times New Roman" w:hAnsi="Times New Roman" w:cs="Times New Roman"/>
          <w:sz w:val="21"/>
          <w:szCs w:val="21"/>
        </w:rPr>
        <w:t>honum</w:t>
      </w:r>
      <w:proofErr w:type="spellEnd"/>
      <w:r w:rsidRPr="00297CC4">
        <w:rPr>
          <w:rFonts w:ascii="Times New Roman" w:hAnsi="Times New Roman" w:cs="Times New Roman"/>
          <w:sz w:val="21"/>
          <w:szCs w:val="21"/>
        </w:rPr>
        <w:t>.</w:t>
      </w:r>
    </w:p>
    <w:p w:rsidR="00297CC4" w:rsidRPr="00297CC4" w:rsidRDefault="00297CC4" w:rsidP="00297CC4">
      <w:pPr>
        <w:rPr>
          <w:rFonts w:ascii="Times New Roman" w:hAnsi="Times New Roman" w:cs="Times New Roman"/>
          <w:sz w:val="21"/>
          <w:szCs w:val="21"/>
        </w:rPr>
      </w:pPr>
    </w:p>
    <w:sectPr w:rsidR="00297CC4" w:rsidRPr="00297CC4" w:rsidSect="00213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671F8"/>
    <w:multiLevelType w:val="hybridMultilevel"/>
    <w:tmpl w:val="95BE2392"/>
    <w:lvl w:ilvl="0" w:tplc="F858DA9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20682"/>
    <w:multiLevelType w:val="hybridMultilevel"/>
    <w:tmpl w:val="AC328AA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675AD"/>
    <w:multiLevelType w:val="hybridMultilevel"/>
    <w:tmpl w:val="96AE016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C4"/>
    <w:rsid w:val="001D6A8E"/>
    <w:rsid w:val="002132BF"/>
    <w:rsid w:val="00297CC4"/>
    <w:rsid w:val="003C70A0"/>
    <w:rsid w:val="005516B4"/>
    <w:rsid w:val="00590489"/>
    <w:rsid w:val="00D152C7"/>
    <w:rsid w:val="00E54559"/>
    <w:rsid w:val="00FD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F2113"/>
  <w15:chartTrackingRefBased/>
  <w15:docId w15:val="{921922B0-E9E1-4B77-A2AB-ECDD9EE7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Venjulegur">
    <w:name w:val="Normal"/>
    <w:qFormat/>
    <w:rPr>
      <w:lang w:val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297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6973</Words>
  <Characters>39747</Characters>
  <Application>Microsoft Office Word</Application>
  <DocSecurity>0</DocSecurity>
  <Lines>331</Lines>
  <Paragraphs>93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Ástríður Scheving Thorsteinsson</dc:creator>
  <cp:keywords/>
  <dc:description/>
  <cp:lastModifiedBy>Ástríður Scheving Thorsteinsson</cp:lastModifiedBy>
  <cp:revision>4</cp:revision>
  <dcterms:created xsi:type="dcterms:W3CDTF">2020-09-24T12:44:00Z</dcterms:created>
  <dcterms:modified xsi:type="dcterms:W3CDTF">2020-09-24T13:08:00Z</dcterms:modified>
</cp:coreProperties>
</file>