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DC4" w14:textId="34315C0E" w:rsidR="006352F8" w:rsidRDefault="006352F8" w:rsidP="006352F8">
      <w:pPr>
        <w:pStyle w:val="Nmeringsskjalsmls"/>
      </w:pPr>
      <w:r>
        <w:t>1</w:t>
      </w:r>
      <w:r w:rsidR="00624873">
        <w:t>5</w:t>
      </w:r>
      <w:r w:rsidR="00E16E4F">
        <w:t>5</w:t>
      </w:r>
      <w:r>
        <w:t>. löggjafarþing 20</w:t>
      </w:r>
      <w:r w:rsidR="002E5907">
        <w:t>2</w:t>
      </w:r>
      <w:r w:rsidR="00C943D6">
        <w:t>4</w:t>
      </w:r>
      <w:r>
        <w:t>–20</w:t>
      </w:r>
      <w:r w:rsidR="00624873">
        <w:t>2</w:t>
      </w:r>
      <w:r w:rsidR="00C943D6">
        <w:t>5</w:t>
      </w:r>
      <w:r>
        <w:t xml:space="preserve">. </w:t>
      </w:r>
    </w:p>
    <w:p w14:paraId="4B77D070" w14:textId="77777777" w:rsidR="006352F8" w:rsidRDefault="006352F8" w:rsidP="006352F8">
      <w:pPr>
        <w:pStyle w:val="Nmeringsskjalsmls"/>
      </w:pPr>
      <w:r>
        <w:t xml:space="preserve">Þingskjal x — x. mál. </w:t>
      </w:r>
    </w:p>
    <w:p w14:paraId="4E844748" w14:textId="77777777" w:rsidR="00707D37" w:rsidRDefault="006352F8" w:rsidP="006352F8">
      <w:pPr>
        <w:pStyle w:val="Nmeringsskjalsmls"/>
      </w:pPr>
      <w:r>
        <w:t>Stjórnartillaga.</w:t>
      </w:r>
    </w:p>
    <w:p w14:paraId="43AF72E4" w14:textId="77777777" w:rsidR="00707D37" w:rsidRPr="004766EF" w:rsidRDefault="003C2AF8" w:rsidP="004766EF">
      <w:pPr>
        <w:pStyle w:val="Fyrirsgn-skjalategund"/>
      </w:pPr>
      <w:r w:rsidRPr="004766EF">
        <w:t>Tillaga til þingsályktunar</w:t>
      </w:r>
    </w:p>
    <w:p w14:paraId="3CD77796" w14:textId="27F055E6" w:rsidR="00707D37" w:rsidRDefault="00895423" w:rsidP="00D726F0">
      <w:pPr>
        <w:pStyle w:val="Fyrirsgn-undirfyrirsgn"/>
      </w:pPr>
      <w:r>
        <w:t>um</w:t>
      </w:r>
      <w:r w:rsidR="006E11A4">
        <w:t xml:space="preserve"> aðgerðaáætlun gegn útbreiðslu sýklalyfjaónæmis</w:t>
      </w:r>
      <w:r w:rsidR="00B12C4C">
        <w:t xml:space="preserve"> fyrir árin 2025</w:t>
      </w:r>
      <w:r w:rsidR="00C84620">
        <w:t>–</w:t>
      </w:r>
      <w:r w:rsidR="00B12C4C">
        <w:t>2029</w:t>
      </w:r>
      <w:r w:rsidR="006E11A4">
        <w:t xml:space="preserve">. </w:t>
      </w:r>
    </w:p>
    <w:p w14:paraId="31137868" w14:textId="77777777" w:rsidR="00707D37" w:rsidRDefault="00707D37" w:rsidP="00D726F0"/>
    <w:p w14:paraId="52FEE920" w14:textId="56855C75" w:rsidR="00707D37" w:rsidRDefault="000F4615" w:rsidP="000F4615">
      <w:pPr>
        <w:pStyle w:val="Frrherra"/>
      </w:pPr>
      <w:r>
        <w:t>Frá</w:t>
      </w:r>
      <w:r w:rsidR="006E11A4">
        <w:t xml:space="preserve"> heilbrigðis</w:t>
      </w:r>
      <w:r>
        <w:t>ráðherra.</w:t>
      </w:r>
    </w:p>
    <w:p w14:paraId="18424512" w14:textId="77777777" w:rsidR="000F4615" w:rsidRDefault="000F4615" w:rsidP="00D726F0"/>
    <w:p w14:paraId="41609237" w14:textId="77777777" w:rsidR="000F4615" w:rsidRDefault="000F4615" w:rsidP="00D726F0"/>
    <w:p w14:paraId="3F539F69" w14:textId="586235B1" w:rsidR="00044D6E" w:rsidRPr="009763EE" w:rsidRDefault="0026355C" w:rsidP="00C84620">
      <w:pPr>
        <w:rPr>
          <w:b/>
          <w:bCs/>
        </w:rPr>
      </w:pPr>
      <w:r>
        <w:t xml:space="preserve">Alþingi </w:t>
      </w:r>
      <w:r w:rsidRPr="00390CC5">
        <w:t>ályktar</w:t>
      </w:r>
      <w:r>
        <w:t xml:space="preserve"> að</w:t>
      </w:r>
      <w:r w:rsidR="006E11A4">
        <w:t xml:space="preserve"> </w:t>
      </w:r>
      <w:r w:rsidR="00D809C6">
        <w:t>samþykkja eftirfarandi</w:t>
      </w:r>
      <w:r w:rsidR="00671793">
        <w:t xml:space="preserve"> </w:t>
      </w:r>
      <w:r w:rsidR="006E11A4">
        <w:t>aðgerðaáætlun</w:t>
      </w:r>
      <w:r w:rsidR="00671793">
        <w:t xml:space="preserve"> </w:t>
      </w:r>
      <w:r w:rsidR="006E11A4">
        <w:t>gegn útbreiðslu sýklalyfjaónæmis</w:t>
      </w:r>
      <w:r w:rsidR="00B36DD3">
        <w:t xml:space="preserve"> sem </w:t>
      </w:r>
      <w:r w:rsidR="00083902">
        <w:t>feli í sér eftirfarandi markmið</w:t>
      </w:r>
      <w:r w:rsidR="00044D6E">
        <w:t>:</w:t>
      </w:r>
    </w:p>
    <w:p w14:paraId="06174D99" w14:textId="5CC91706" w:rsidR="00044D6E" w:rsidRPr="00083902" w:rsidRDefault="00044D6E" w:rsidP="00D809C6">
      <w:pPr>
        <w:pStyle w:val="Mlsgreinlista"/>
        <w:numPr>
          <w:ilvl w:val="0"/>
          <w:numId w:val="16"/>
        </w:numPr>
        <w:spacing w:after="120" w:line="259" w:lineRule="auto"/>
        <w:ind w:left="426" w:hanging="142"/>
      </w:pPr>
      <w:r w:rsidRPr="00083902">
        <w:t xml:space="preserve">Stuðla að markvissri og skynsamlegri notkun sýklalyfja </w:t>
      </w:r>
      <w:r w:rsidR="00D40031">
        <w:t xml:space="preserve">manna </w:t>
      </w:r>
      <w:r w:rsidRPr="00083902">
        <w:t>og dýr</w:t>
      </w:r>
      <w:r w:rsidR="00D40031">
        <w:t>a</w:t>
      </w:r>
      <w:r w:rsidRPr="002319A0">
        <w:t xml:space="preserve">. </w:t>
      </w:r>
    </w:p>
    <w:p w14:paraId="4708A0E0" w14:textId="77777777" w:rsidR="00044D6E" w:rsidRPr="00083902" w:rsidRDefault="00044D6E" w:rsidP="00083902">
      <w:pPr>
        <w:pStyle w:val="Mlsgreinlista"/>
        <w:numPr>
          <w:ilvl w:val="0"/>
          <w:numId w:val="16"/>
        </w:numPr>
        <w:spacing w:after="120" w:line="259" w:lineRule="auto"/>
        <w:ind w:left="426" w:hanging="142"/>
      </w:pPr>
      <w:r w:rsidRPr="00083902">
        <w:t xml:space="preserve">Takmarka útbreiðslu sýklalyfjaónæmis með upplýsingagjöf, fræðslu og forvörnum. </w:t>
      </w:r>
    </w:p>
    <w:p w14:paraId="3110975B" w14:textId="77777777" w:rsidR="00044D6E" w:rsidRPr="00083902" w:rsidRDefault="00044D6E" w:rsidP="00083902">
      <w:pPr>
        <w:pStyle w:val="Mlsgreinlista"/>
        <w:numPr>
          <w:ilvl w:val="0"/>
          <w:numId w:val="16"/>
        </w:numPr>
        <w:spacing w:after="120" w:line="259" w:lineRule="auto"/>
        <w:ind w:left="426" w:hanging="142"/>
      </w:pPr>
      <w:r w:rsidRPr="00083902">
        <w:t xml:space="preserve">Bæta þekkingu á sýklalyfjaónæmi með vöktun og vísindarannsóknum. </w:t>
      </w:r>
    </w:p>
    <w:p w14:paraId="648B39B3" w14:textId="77777777" w:rsidR="00044D6E" w:rsidRPr="00083902" w:rsidRDefault="00044D6E" w:rsidP="00083902">
      <w:pPr>
        <w:pStyle w:val="Mlsgreinlista"/>
        <w:numPr>
          <w:ilvl w:val="0"/>
          <w:numId w:val="16"/>
        </w:numPr>
        <w:spacing w:after="120" w:line="259" w:lineRule="auto"/>
        <w:ind w:left="426" w:hanging="142"/>
      </w:pPr>
      <w:r w:rsidRPr="00083902">
        <w:t xml:space="preserve">Hefta útbreiðslu sýklalyfjaónæmis með íhlutandi aðgerðum. </w:t>
      </w:r>
    </w:p>
    <w:p w14:paraId="4948B231" w14:textId="77777777" w:rsidR="006211C7" w:rsidRPr="00083902" w:rsidRDefault="00044D6E" w:rsidP="00083902">
      <w:pPr>
        <w:pStyle w:val="Mlsgreinlista"/>
        <w:numPr>
          <w:ilvl w:val="0"/>
          <w:numId w:val="16"/>
        </w:numPr>
        <w:spacing w:after="120" w:line="259" w:lineRule="auto"/>
        <w:ind w:left="426" w:hanging="142"/>
      </w:pPr>
      <w:r w:rsidRPr="00083902">
        <w:t xml:space="preserve">Auka þátttöku í alþjóðlegu samstarfi um aðgerðir gegn sýklalyfjaónæmi. </w:t>
      </w:r>
    </w:p>
    <w:p w14:paraId="4C4E11FB" w14:textId="5D0FFC23" w:rsidR="000003A0" w:rsidRPr="002319A0" w:rsidRDefault="00044D6E" w:rsidP="00083902">
      <w:pPr>
        <w:pStyle w:val="Mlsgreinlista"/>
        <w:numPr>
          <w:ilvl w:val="0"/>
          <w:numId w:val="16"/>
        </w:numPr>
        <w:spacing w:line="259" w:lineRule="auto"/>
        <w:ind w:left="426" w:hanging="142"/>
      </w:pPr>
      <w:r w:rsidRPr="00083902">
        <w:t>Tryggja samhæfingu og stjórn aðgerða gegn sýklalyfjaónæmi til framtíðar.</w:t>
      </w:r>
    </w:p>
    <w:p w14:paraId="47515330" w14:textId="418F173E" w:rsidR="00AB4AC8" w:rsidRDefault="00AB4AC8" w:rsidP="00C84620">
      <w:r>
        <w:t xml:space="preserve">Aðgerðaáætlun </w:t>
      </w:r>
      <w:r w:rsidR="00450EC2">
        <w:t xml:space="preserve">stjórnvalda </w:t>
      </w:r>
      <w:r>
        <w:t xml:space="preserve">gegn sýklalyfjaónæmi byggi á </w:t>
      </w:r>
      <w:r w:rsidR="00B36DD3">
        <w:t>e</w:t>
      </w:r>
      <w:r>
        <w:t xml:space="preserve">innar heilsu nálgun og </w:t>
      </w:r>
      <w:r w:rsidR="006211C7">
        <w:t xml:space="preserve">í henni </w:t>
      </w:r>
      <w:r w:rsidR="00D809C6">
        <w:t xml:space="preserve">verði </w:t>
      </w:r>
      <w:r w:rsidR="00684048">
        <w:t xml:space="preserve">tilgreind 24 markmið sem stefnt skuli að og </w:t>
      </w:r>
      <w:r w:rsidR="00450EC2">
        <w:t xml:space="preserve">75 verkefni nauðsynlegt </w:t>
      </w:r>
      <w:r w:rsidR="00D809C6">
        <w:t xml:space="preserve">verði </w:t>
      </w:r>
      <w:r>
        <w:t xml:space="preserve">að </w:t>
      </w:r>
      <w:r w:rsidR="00684048">
        <w:t xml:space="preserve">ráðast í til </w:t>
      </w:r>
      <w:r w:rsidR="00450EC2">
        <w:t>að ná settum markmiðum</w:t>
      </w:r>
      <w:r>
        <w:t xml:space="preserve">. </w:t>
      </w:r>
    </w:p>
    <w:p w14:paraId="6DC5A65A" w14:textId="77777777" w:rsidR="0090511A" w:rsidRDefault="0090511A" w:rsidP="0090511A"/>
    <w:p w14:paraId="140FCC9C" w14:textId="4240F490" w:rsidR="00BB6B10" w:rsidRDefault="0090511A" w:rsidP="0090511A">
      <w:pPr>
        <w:pStyle w:val="Millifyrirsgn1"/>
      </w:pPr>
      <w:bookmarkStart w:id="0" w:name="_Ref151630389"/>
      <w:r>
        <w:t xml:space="preserve">1. </w:t>
      </w:r>
      <w:r w:rsidR="00BB6B10" w:rsidRPr="00450EC2">
        <w:t xml:space="preserve">Stuðla að markvissri og skynsamlegri notkun sýklalyfja </w:t>
      </w:r>
      <w:r w:rsidR="00D40031">
        <w:t xml:space="preserve">manna </w:t>
      </w:r>
      <w:r w:rsidR="00BB6B10" w:rsidRPr="00450EC2">
        <w:t>og dýr</w:t>
      </w:r>
      <w:bookmarkEnd w:id="0"/>
      <w:r w:rsidR="00D40031">
        <w:t>a</w:t>
      </w:r>
      <w:r w:rsidR="00BB6B10">
        <w:t>.</w:t>
      </w:r>
    </w:p>
    <w:p w14:paraId="2290FECD" w14:textId="46588E2E" w:rsidR="00E85351" w:rsidRDefault="00E85351" w:rsidP="0090511A">
      <w:r>
        <w:t xml:space="preserve">Í </w:t>
      </w:r>
      <w:r w:rsidR="00083902">
        <w:t xml:space="preserve">þessari </w:t>
      </w:r>
      <w:r>
        <w:t xml:space="preserve">aðgerð </w:t>
      </w:r>
      <w:r w:rsidR="00C217E5">
        <w:t>verði</w:t>
      </w:r>
      <w:r w:rsidR="009461B3">
        <w:t xml:space="preserve"> </w:t>
      </w:r>
      <w:r>
        <w:t xml:space="preserve">sett eftirfarandi fjögur markmið til að minnka og bæta sýklalyfjanotkun </w:t>
      </w:r>
      <w:r w:rsidR="00D40031">
        <w:t xml:space="preserve">manna </w:t>
      </w:r>
      <w:r>
        <w:t xml:space="preserve">og </w:t>
      </w:r>
      <w:r w:rsidR="00E749D8">
        <w:t xml:space="preserve">sýklalyfjagjöf </w:t>
      </w:r>
      <w:r>
        <w:t>dýr</w:t>
      </w:r>
      <w:r w:rsidR="00D40031">
        <w:t>a</w:t>
      </w:r>
      <w:r w:rsidR="00C217E5">
        <w:t>.</w:t>
      </w:r>
    </w:p>
    <w:p w14:paraId="1A9374F2" w14:textId="77777777" w:rsidR="0090511A" w:rsidRDefault="0090511A" w:rsidP="0090511A">
      <w:pPr>
        <w:pStyle w:val="Millifyrirsgn2"/>
      </w:pPr>
    </w:p>
    <w:p w14:paraId="3D2940C8" w14:textId="60D042C6" w:rsidR="00BB6B10" w:rsidRPr="00E53C5D" w:rsidRDefault="00BB6B10" w:rsidP="0090511A">
      <w:pPr>
        <w:pStyle w:val="Millifyrirsgn2"/>
      </w:pPr>
      <w:r w:rsidRPr="00E53C5D">
        <w:t>1.1.</w:t>
      </w:r>
      <w:r w:rsidR="007F5B17">
        <w:t xml:space="preserve"> </w:t>
      </w:r>
      <w:r w:rsidRPr="00E53C5D">
        <w:tab/>
        <w:t xml:space="preserve">Efla og þróa rafrænar skráningar og vöktun sýklalyfjaávísana hjá mönnum. </w:t>
      </w:r>
    </w:p>
    <w:p w14:paraId="0F213C71" w14:textId="338F37C9" w:rsidR="00BB6B10" w:rsidRPr="00E53C5D" w:rsidRDefault="00BB6B10" w:rsidP="0090511A">
      <w:bookmarkStart w:id="1" w:name="_Hlk172736945"/>
      <w:r>
        <w:rPr>
          <w:i/>
          <w:iCs/>
        </w:rPr>
        <w:t>Ábyrgð:</w:t>
      </w:r>
      <w:r w:rsidR="0090511A">
        <w:rPr>
          <w:i/>
          <w:iCs/>
        </w:rPr>
        <w:t xml:space="preserve"> </w:t>
      </w:r>
      <w:r>
        <w:t>Embætti landlæknis, sóttvarnalæknir</w:t>
      </w:r>
      <w:r w:rsidR="00E749D8">
        <w:t xml:space="preserve"> og</w:t>
      </w:r>
      <w:r>
        <w:t xml:space="preserve"> Þróunarmiðstöð íslenskrar</w:t>
      </w:r>
      <w:r w:rsidR="0090511A">
        <w:t xml:space="preserve"> </w:t>
      </w:r>
      <w:r>
        <w:t xml:space="preserve">heilsugæslu. </w:t>
      </w:r>
    </w:p>
    <w:p w14:paraId="0918696F" w14:textId="7685401D" w:rsidR="00BB6B10" w:rsidRDefault="00BB6B10" w:rsidP="0090511A">
      <w:r>
        <w:rPr>
          <w:i/>
          <w:iCs/>
        </w:rPr>
        <w:t>Afurð:</w:t>
      </w:r>
      <w:r w:rsidR="0090511A">
        <w:rPr>
          <w:i/>
          <w:iCs/>
        </w:rPr>
        <w:t xml:space="preserve"> </w:t>
      </w:r>
      <w:r>
        <w:rPr>
          <w:i/>
          <w:iCs/>
        </w:rPr>
        <w:tab/>
      </w:r>
      <w:r>
        <w:t xml:space="preserve">Sýklalyfjaávísanir </w:t>
      </w:r>
      <w:r w:rsidRPr="00E53C5D">
        <w:t>hjá mönnum skráð</w:t>
      </w:r>
      <w:r>
        <w:t>ar</w:t>
      </w:r>
      <w:r w:rsidRPr="00E53C5D">
        <w:t xml:space="preserve"> í miðlæga gagnagrunna. </w:t>
      </w:r>
      <w:r w:rsidRPr="000F30E9">
        <w:t>Upplýsingar aðgengilegar og birtar í eftirlitsskýrslum.</w:t>
      </w:r>
    </w:p>
    <w:p w14:paraId="6B369BEA" w14:textId="77777777" w:rsidR="00E85351" w:rsidRPr="000F30E9" w:rsidRDefault="00E85351" w:rsidP="00E85351">
      <w:pPr>
        <w:spacing w:line="259" w:lineRule="auto"/>
        <w:ind w:left="1985" w:hanging="1134"/>
      </w:pPr>
    </w:p>
    <w:bookmarkEnd w:id="1"/>
    <w:p w14:paraId="08918B83" w14:textId="5E7668EE" w:rsidR="00BB6B10" w:rsidRDefault="00BB6B10" w:rsidP="0090511A">
      <w:pPr>
        <w:pStyle w:val="Millifyrirsgn2"/>
      </w:pPr>
      <w:r w:rsidRPr="000F30E9">
        <w:t>1.2.</w:t>
      </w:r>
      <w:r w:rsidRPr="000F30E9">
        <w:tab/>
      </w:r>
      <w:r w:rsidR="007F5B17">
        <w:t xml:space="preserve"> </w:t>
      </w:r>
      <w:r w:rsidRPr="000F30E9">
        <w:t>Stuðla að minni og skynsamlegri sýklalyfjanotkun m</w:t>
      </w:r>
      <w:r w:rsidR="009461B3">
        <w:t>anna</w:t>
      </w:r>
      <w:r w:rsidRPr="000F30E9">
        <w:t xml:space="preserve"> með aukinni gæðaþróun og leiðbeining</w:t>
      </w:r>
      <w:r w:rsidR="009461B3">
        <w:t>um</w:t>
      </w:r>
      <w:r w:rsidRPr="000F30E9">
        <w:t>.</w:t>
      </w:r>
    </w:p>
    <w:p w14:paraId="52A1DF4E" w14:textId="3FE80CD2" w:rsidR="00BB6B10" w:rsidRPr="000F30E9" w:rsidRDefault="00BB6B10" w:rsidP="0090511A">
      <w:pPr>
        <w:rPr>
          <w:b/>
          <w:bCs/>
        </w:rPr>
      </w:pPr>
      <w:bookmarkStart w:id="2" w:name="_Hlk172737400"/>
      <w:r>
        <w:rPr>
          <w:i/>
          <w:iCs/>
        </w:rPr>
        <w:t xml:space="preserve">Ábyrgð: </w:t>
      </w:r>
      <w:r>
        <w:rPr>
          <w:i/>
          <w:iCs/>
        </w:rPr>
        <w:tab/>
      </w:r>
      <w:r>
        <w:t>Landspítalinn, Þróunarmiðstöð íslenskrar heilsugæslu</w:t>
      </w:r>
      <w:r w:rsidR="00E749D8">
        <w:t xml:space="preserve"> og</w:t>
      </w:r>
      <w:r>
        <w:t xml:space="preserve"> sóttvarnalæknir.</w:t>
      </w:r>
    </w:p>
    <w:p w14:paraId="27008E73" w14:textId="77777777" w:rsidR="00BB6B10" w:rsidRDefault="00BB6B10" w:rsidP="0090511A">
      <w:r>
        <w:rPr>
          <w:i/>
          <w:iCs/>
        </w:rPr>
        <w:t xml:space="preserve">Afurð: </w:t>
      </w:r>
      <w:r>
        <w:rPr>
          <w:i/>
          <w:iCs/>
        </w:rPr>
        <w:tab/>
      </w:r>
      <w:r>
        <w:t>Skilgreindar stofnanir með virka sýklalyfjagæslu</w:t>
      </w:r>
      <w:r w:rsidRPr="000F30E9">
        <w:t>.</w:t>
      </w:r>
    </w:p>
    <w:p w14:paraId="6D4977A7" w14:textId="77777777" w:rsidR="00E85351" w:rsidRPr="000F30E9" w:rsidRDefault="00E85351" w:rsidP="00E85351">
      <w:pPr>
        <w:spacing w:line="259" w:lineRule="auto"/>
        <w:ind w:left="1988" w:hanging="1136"/>
      </w:pPr>
    </w:p>
    <w:bookmarkEnd w:id="2"/>
    <w:p w14:paraId="5B65A6D2" w14:textId="0D5AEC33" w:rsidR="00BB6B10" w:rsidRDefault="00BB6B10" w:rsidP="007F5B17">
      <w:pPr>
        <w:pStyle w:val="Millifyrirsgn2"/>
      </w:pPr>
      <w:r w:rsidRPr="000F30E9">
        <w:t>1.3.</w:t>
      </w:r>
      <w:r w:rsidR="007F5B17">
        <w:t xml:space="preserve"> </w:t>
      </w:r>
      <w:r>
        <w:tab/>
      </w:r>
      <w:r w:rsidRPr="000F30E9">
        <w:t xml:space="preserve">Efla og þróa rafrænar skráningar og vöktun sýklalyfjaávísana hjá dýrum. </w:t>
      </w:r>
    </w:p>
    <w:p w14:paraId="65BDA658" w14:textId="15F73997" w:rsidR="00BB6B10" w:rsidRPr="008A28D9" w:rsidRDefault="00BB6B10" w:rsidP="007F5B17">
      <w:pPr>
        <w:rPr>
          <w:b/>
          <w:bCs/>
        </w:rPr>
      </w:pPr>
      <w:bookmarkStart w:id="3" w:name="_Hlk172737994"/>
      <w:r w:rsidRPr="008A28D9">
        <w:rPr>
          <w:i/>
          <w:iCs/>
        </w:rPr>
        <w:t xml:space="preserve">Ábyrgð: </w:t>
      </w:r>
      <w:r w:rsidRPr="008A28D9">
        <w:rPr>
          <w:i/>
          <w:iCs/>
        </w:rPr>
        <w:tab/>
      </w:r>
      <w:r>
        <w:t>M</w:t>
      </w:r>
      <w:r w:rsidR="00FE535F">
        <w:t>atvælastofnun</w:t>
      </w:r>
      <w:r w:rsidR="00E749D8">
        <w:t xml:space="preserve"> og</w:t>
      </w:r>
      <w:r>
        <w:t xml:space="preserve"> matvælaráðuneyti</w:t>
      </w:r>
      <w:r w:rsidRPr="008A28D9">
        <w:t>.</w:t>
      </w:r>
    </w:p>
    <w:p w14:paraId="37A378ED" w14:textId="77777777" w:rsidR="00BB6B10" w:rsidRDefault="00BB6B10" w:rsidP="007F5B17">
      <w:r w:rsidRPr="008A28D9">
        <w:rPr>
          <w:i/>
          <w:iCs/>
        </w:rPr>
        <w:t xml:space="preserve">Afurð: </w:t>
      </w:r>
      <w:r w:rsidRPr="008A28D9">
        <w:rPr>
          <w:i/>
          <w:iCs/>
        </w:rPr>
        <w:tab/>
      </w:r>
      <w:r w:rsidRPr="008A28D9">
        <w:t xml:space="preserve">Sýklalyfjaávísanir hjá </w:t>
      </w:r>
      <w:r>
        <w:t>dýrum</w:t>
      </w:r>
      <w:r w:rsidRPr="008A28D9">
        <w:t xml:space="preserve"> skráðar í miðlæga gagnagrunna. Upplýsingar aðgengilegar og birtar í eftirlitsskýrslum.</w:t>
      </w:r>
      <w:r>
        <w:t xml:space="preserve"> </w:t>
      </w:r>
    </w:p>
    <w:p w14:paraId="3DA111CA" w14:textId="77777777" w:rsidR="00E85351" w:rsidRDefault="00E85351" w:rsidP="00E85351">
      <w:pPr>
        <w:pStyle w:val="Mlsgreinlista"/>
        <w:ind w:left="1985" w:hanging="1134"/>
        <w:contextualSpacing w:val="0"/>
      </w:pPr>
    </w:p>
    <w:bookmarkEnd w:id="3"/>
    <w:p w14:paraId="1562F8B6" w14:textId="4751AC3B" w:rsidR="00BB6B10" w:rsidRDefault="00BB6B10" w:rsidP="007F5B17">
      <w:pPr>
        <w:pStyle w:val="Millifyrirsgn2"/>
      </w:pPr>
      <w:r w:rsidRPr="008A28D9">
        <w:t>1.4.</w:t>
      </w:r>
      <w:r w:rsidR="007F5B17">
        <w:t xml:space="preserve"> </w:t>
      </w:r>
      <w:r w:rsidRPr="008A28D9">
        <w:tab/>
        <w:t>Stuðla að skynsamlegri sýklalyfja</w:t>
      </w:r>
      <w:r w:rsidR="00E749D8">
        <w:t>gjöf</w:t>
      </w:r>
      <w:r w:rsidRPr="008A28D9">
        <w:t xml:space="preserve"> dýr</w:t>
      </w:r>
      <w:r w:rsidR="009461B3">
        <w:t>a</w:t>
      </w:r>
      <w:r w:rsidRPr="008A28D9">
        <w:t xml:space="preserve"> með aukinni gæðaþróun og leiðbeining</w:t>
      </w:r>
      <w:r w:rsidR="009461B3">
        <w:t>um</w:t>
      </w:r>
      <w:r w:rsidRPr="008A28D9">
        <w:t>.</w:t>
      </w:r>
    </w:p>
    <w:p w14:paraId="10EC2514" w14:textId="7077C899" w:rsidR="00BB6B10" w:rsidRPr="008A28D9" w:rsidRDefault="00BB6B10" w:rsidP="007F5B17">
      <w:pPr>
        <w:rPr>
          <w:b/>
          <w:bCs/>
        </w:rPr>
      </w:pPr>
      <w:bookmarkStart w:id="4" w:name="_Hlk172738244"/>
      <w:r w:rsidRPr="008A28D9">
        <w:rPr>
          <w:i/>
          <w:iCs/>
        </w:rPr>
        <w:t xml:space="preserve">Ábyrgð: </w:t>
      </w:r>
      <w:r w:rsidRPr="008A28D9">
        <w:rPr>
          <w:i/>
          <w:iCs/>
        </w:rPr>
        <w:tab/>
      </w:r>
      <w:r>
        <w:t>M</w:t>
      </w:r>
      <w:r w:rsidR="00FE535F">
        <w:t>atvælastofnun</w:t>
      </w:r>
      <w:r w:rsidR="00E749D8">
        <w:t xml:space="preserve"> og</w:t>
      </w:r>
      <w:r>
        <w:t xml:space="preserve"> </w:t>
      </w:r>
      <w:r w:rsidR="0067338E">
        <w:t>heilbrigðisráðuneyti</w:t>
      </w:r>
      <w:r w:rsidRPr="008A28D9">
        <w:t>.</w:t>
      </w:r>
    </w:p>
    <w:p w14:paraId="4E572444" w14:textId="22BCE580" w:rsidR="00BB6B10" w:rsidRDefault="00BB6B10" w:rsidP="007F5B17">
      <w:r w:rsidRPr="008A28D9">
        <w:rPr>
          <w:i/>
          <w:iCs/>
        </w:rPr>
        <w:t xml:space="preserve">Afurð: </w:t>
      </w:r>
      <w:r w:rsidRPr="008A28D9">
        <w:rPr>
          <w:i/>
          <w:iCs/>
        </w:rPr>
        <w:tab/>
      </w:r>
      <w:r w:rsidR="0067338E">
        <w:t>Skilgreindir aðilar með virka sýklalyfjagæslu</w:t>
      </w:r>
      <w:r w:rsidRPr="008A28D9">
        <w:t>.</w:t>
      </w:r>
    </w:p>
    <w:p w14:paraId="7CEE95DB" w14:textId="77777777" w:rsidR="00E85351" w:rsidRDefault="00E85351" w:rsidP="00E85351">
      <w:pPr>
        <w:pStyle w:val="Mlsgreinlista"/>
        <w:ind w:left="1985" w:hanging="1134"/>
        <w:contextualSpacing w:val="0"/>
      </w:pPr>
    </w:p>
    <w:p w14:paraId="001720CB" w14:textId="454FEEC7" w:rsidR="00BB6B10" w:rsidRDefault="007F5B17" w:rsidP="007F5B17">
      <w:pPr>
        <w:pStyle w:val="Millifyrirsgn1"/>
      </w:pPr>
      <w:bookmarkStart w:id="5" w:name="_Hlk177116287"/>
      <w:bookmarkEnd w:id="4"/>
      <w:r>
        <w:t xml:space="preserve">2. </w:t>
      </w:r>
      <w:r w:rsidR="00BB6B10" w:rsidRPr="006B189B">
        <w:t>Takmarka útbreiðslu sýklalyfjaónæmis með upplýsingagjöf, fræðslu og forvörnum.</w:t>
      </w:r>
      <w:r w:rsidR="00E85351">
        <w:t xml:space="preserve"> </w:t>
      </w:r>
    </w:p>
    <w:p w14:paraId="647BBDBF" w14:textId="1C6EC639" w:rsidR="00DE2491" w:rsidRDefault="00DE2491" w:rsidP="007F5B17">
      <w:r w:rsidRPr="00DE2491">
        <w:t xml:space="preserve">Í </w:t>
      </w:r>
      <w:r w:rsidR="00C217E5">
        <w:t xml:space="preserve">þessari </w:t>
      </w:r>
      <w:r w:rsidRPr="00DE2491">
        <w:t xml:space="preserve">aðgerð </w:t>
      </w:r>
      <w:r w:rsidR="00C217E5">
        <w:t xml:space="preserve">verði </w:t>
      </w:r>
      <w:r>
        <w:t xml:space="preserve">sett eftirfarandi fimm markmið til </w:t>
      </w:r>
      <w:r w:rsidR="00C217E5">
        <w:t xml:space="preserve">að </w:t>
      </w:r>
      <w:r>
        <w:t>auka upplýsingagjöf, fræðslu og forvarnir</w:t>
      </w:r>
      <w:r w:rsidR="00492638">
        <w:t xml:space="preserve"> fyrir </w:t>
      </w:r>
      <w:r w:rsidR="00492638" w:rsidRPr="00DE2491">
        <w:t>almenning, heilbrigðisstéttir,</w:t>
      </w:r>
      <w:r w:rsidR="00492638">
        <w:t xml:space="preserve"> </w:t>
      </w:r>
      <w:r w:rsidR="00492638" w:rsidRPr="00DE2491">
        <w:t>starfsfólk í velferðarþjónustu, dýralækna og matvælaframleiðendu</w:t>
      </w:r>
      <w:r w:rsidR="00492638">
        <w:t xml:space="preserve">r </w:t>
      </w:r>
      <w:r w:rsidR="00492638" w:rsidRPr="00DE2491">
        <w:t>um mikilvægi skynsamlegrar sýklalyfjanotkunar og mikilvægi sóttvarna</w:t>
      </w:r>
      <w:r w:rsidR="00492638">
        <w:t>.</w:t>
      </w:r>
    </w:p>
    <w:p w14:paraId="4F9803C4" w14:textId="77777777" w:rsidR="007F5B17" w:rsidRPr="00DE2491" w:rsidRDefault="007F5B17" w:rsidP="007F5B17"/>
    <w:bookmarkEnd w:id="5"/>
    <w:p w14:paraId="1251C84B" w14:textId="0D2C846A" w:rsidR="00BB6B10" w:rsidRDefault="00BB6B10" w:rsidP="007F5B17">
      <w:pPr>
        <w:pStyle w:val="Millifyrirsgn2"/>
      </w:pPr>
      <w:r w:rsidRPr="006B189B">
        <w:t>2.1.</w:t>
      </w:r>
      <w:r w:rsidRPr="006B189B">
        <w:tab/>
      </w:r>
      <w:r w:rsidR="007F5B17">
        <w:t xml:space="preserve"> </w:t>
      </w:r>
      <w:r w:rsidRPr="006B189B">
        <w:t>Auka þekkingu almennings á sýklalyfjaónæmi, notkun sýklalyfja og sóttvörnum.</w:t>
      </w:r>
    </w:p>
    <w:p w14:paraId="667D8FBB" w14:textId="39DCAB65" w:rsidR="00BB6B10" w:rsidRPr="008A28D9" w:rsidRDefault="00BB6B10" w:rsidP="007F5B17">
      <w:pPr>
        <w:rPr>
          <w:b/>
          <w:bCs/>
        </w:rPr>
      </w:pPr>
      <w:bookmarkStart w:id="6" w:name="_Hlk172738461"/>
      <w:r w:rsidRPr="008A28D9">
        <w:rPr>
          <w:i/>
          <w:iCs/>
        </w:rPr>
        <w:t xml:space="preserve">Ábyrgð: </w:t>
      </w:r>
      <w:r w:rsidRPr="008A28D9">
        <w:rPr>
          <w:i/>
          <w:iCs/>
        </w:rPr>
        <w:tab/>
      </w:r>
      <w:r w:rsidR="00FE535F">
        <w:t>S</w:t>
      </w:r>
      <w:r>
        <w:t>óttvarnalæknir, Þróunarmiðstöð íslenskrar heilsugæslu, M</w:t>
      </w:r>
      <w:r w:rsidR="00FE535F">
        <w:t>atvælastofnun</w:t>
      </w:r>
      <w:r>
        <w:t>, Heilsugæsla höfuðborgarsvæðisins</w:t>
      </w:r>
      <w:r w:rsidR="001700AB">
        <w:t xml:space="preserve"> og</w:t>
      </w:r>
      <w:r>
        <w:t xml:space="preserve"> heilbrigðisráðuneyti</w:t>
      </w:r>
      <w:r w:rsidRPr="008A28D9">
        <w:t>.</w:t>
      </w:r>
    </w:p>
    <w:p w14:paraId="79FFE00D" w14:textId="77777777" w:rsidR="00BB6B10" w:rsidRDefault="00BB6B10" w:rsidP="007F5B17">
      <w:r w:rsidRPr="008A28D9">
        <w:rPr>
          <w:i/>
          <w:iCs/>
        </w:rPr>
        <w:t xml:space="preserve">Afurð: </w:t>
      </w:r>
      <w:r w:rsidRPr="008A28D9">
        <w:rPr>
          <w:i/>
          <w:iCs/>
        </w:rPr>
        <w:tab/>
      </w:r>
      <w:r>
        <w:t>Aukin þekking almennings á sýklalyfjaónæmi, notkun sýklalyfja og sóttvörnum</w:t>
      </w:r>
      <w:r w:rsidRPr="008A28D9">
        <w:t>.</w:t>
      </w:r>
      <w:r>
        <w:t xml:space="preserve"> </w:t>
      </w:r>
    </w:p>
    <w:p w14:paraId="46C4E558" w14:textId="77777777" w:rsidR="00DE2491" w:rsidRDefault="00DE2491" w:rsidP="00DE2491">
      <w:pPr>
        <w:pStyle w:val="Mlsgreinlista"/>
        <w:ind w:left="1985" w:hanging="1134"/>
        <w:contextualSpacing w:val="0"/>
      </w:pPr>
    </w:p>
    <w:bookmarkEnd w:id="6"/>
    <w:p w14:paraId="684348A8" w14:textId="7FE08C14" w:rsidR="00BB6B10" w:rsidRDefault="00BB6B10" w:rsidP="007F5B17">
      <w:pPr>
        <w:pStyle w:val="Millifyrirsgn2"/>
      </w:pPr>
      <w:r w:rsidRPr="006B189B">
        <w:lastRenderedPageBreak/>
        <w:t>2.2.</w:t>
      </w:r>
      <w:r w:rsidR="007F5B17">
        <w:t xml:space="preserve"> </w:t>
      </w:r>
      <w:r w:rsidRPr="006B189B">
        <w:tab/>
        <w:t>Auka þekkingu heilbrigðisstarfsmanna og starfsmanna í velferðarþjónustu á sýklalyfjaónæmi, notkun sýklalyfja og sóttvörnum.</w:t>
      </w:r>
    </w:p>
    <w:p w14:paraId="784751A2" w14:textId="772F82A2" w:rsidR="00BB6B10" w:rsidRPr="008A28D9" w:rsidRDefault="00BB6B10" w:rsidP="007F5B17">
      <w:pPr>
        <w:rPr>
          <w:b/>
          <w:bCs/>
        </w:rPr>
      </w:pPr>
      <w:r w:rsidRPr="008A28D9">
        <w:rPr>
          <w:i/>
          <w:iCs/>
        </w:rPr>
        <w:t xml:space="preserve">Ábyrgð: </w:t>
      </w:r>
      <w:r w:rsidRPr="008A28D9">
        <w:rPr>
          <w:i/>
          <w:iCs/>
        </w:rPr>
        <w:tab/>
      </w:r>
      <w:r w:rsidR="00FE535F">
        <w:t>S</w:t>
      </w:r>
      <w:r>
        <w:t>óttvarnalæknir</w:t>
      </w:r>
      <w:r w:rsidR="001700AB">
        <w:t xml:space="preserve"> og</w:t>
      </w:r>
      <w:r>
        <w:t xml:space="preserve"> heilbrigðisráðuneyti</w:t>
      </w:r>
      <w:r w:rsidRPr="008A28D9">
        <w:t>.</w:t>
      </w:r>
    </w:p>
    <w:p w14:paraId="6313B6AD" w14:textId="77777777" w:rsidR="00BB6B10" w:rsidRDefault="00BB6B10" w:rsidP="007F5B17">
      <w:r w:rsidRPr="008A28D9">
        <w:rPr>
          <w:i/>
          <w:iCs/>
        </w:rPr>
        <w:t xml:space="preserve">Afurð: </w:t>
      </w:r>
      <w:r w:rsidRPr="008A28D9">
        <w:rPr>
          <w:i/>
          <w:iCs/>
        </w:rPr>
        <w:tab/>
      </w:r>
      <w:r>
        <w:t>Aukin þekking heilbrigðisstarfsmanna og starfsmanna í velferðarþjónustu á sýklalyfjaónæmi, notkun sýklalyfja og sóttvörnum</w:t>
      </w:r>
      <w:r w:rsidRPr="008A28D9">
        <w:t>.</w:t>
      </w:r>
      <w:r>
        <w:t xml:space="preserve"> </w:t>
      </w:r>
    </w:p>
    <w:p w14:paraId="370D87A0" w14:textId="77777777" w:rsidR="00DE2491" w:rsidRDefault="00DE2491" w:rsidP="00DE2491">
      <w:pPr>
        <w:pStyle w:val="Mlsgreinlista"/>
        <w:ind w:left="1985" w:hanging="1134"/>
        <w:contextualSpacing w:val="0"/>
      </w:pPr>
    </w:p>
    <w:p w14:paraId="0653EA63" w14:textId="286F52F1" w:rsidR="00BB6B10" w:rsidRDefault="00BB6B10" w:rsidP="007F5B17">
      <w:pPr>
        <w:pStyle w:val="Millifyrirsgn2"/>
      </w:pPr>
      <w:r w:rsidRPr="003D7EFA">
        <w:t>2.3.</w:t>
      </w:r>
      <w:r w:rsidRPr="003D7EFA">
        <w:tab/>
      </w:r>
      <w:r w:rsidR="007F5B17">
        <w:t xml:space="preserve"> </w:t>
      </w:r>
      <w:r w:rsidRPr="003D7EFA">
        <w:t>Auka þekkingu dýralækna á sýklalyfjaónæmi, notkun sýklalyfja og sóttvörnum.</w:t>
      </w:r>
    </w:p>
    <w:p w14:paraId="5C537BC7" w14:textId="2F239BCF" w:rsidR="00BB6B10" w:rsidRPr="008A28D9" w:rsidRDefault="00BB6B10" w:rsidP="007F5B17">
      <w:pPr>
        <w:rPr>
          <w:b/>
          <w:bCs/>
        </w:rPr>
      </w:pPr>
      <w:bookmarkStart w:id="7" w:name="_Hlk172739270"/>
      <w:r w:rsidRPr="008A28D9">
        <w:rPr>
          <w:i/>
          <w:iCs/>
        </w:rPr>
        <w:t xml:space="preserve">Ábyrgð: </w:t>
      </w:r>
      <w:r w:rsidRPr="008A28D9">
        <w:rPr>
          <w:i/>
          <w:iCs/>
        </w:rPr>
        <w:tab/>
      </w:r>
      <w:r>
        <w:t>M</w:t>
      </w:r>
      <w:r w:rsidR="00FE535F">
        <w:t>atvælastofnun</w:t>
      </w:r>
      <w:r w:rsidRPr="008A28D9">
        <w:t>.</w:t>
      </w:r>
    </w:p>
    <w:p w14:paraId="09C07AC1" w14:textId="77777777" w:rsidR="00BB6B10" w:rsidRDefault="00BB6B10" w:rsidP="007F5B17">
      <w:r w:rsidRPr="008A28D9">
        <w:rPr>
          <w:i/>
          <w:iCs/>
        </w:rPr>
        <w:t xml:space="preserve">Afurð: </w:t>
      </w:r>
      <w:r w:rsidRPr="008A28D9">
        <w:rPr>
          <w:i/>
          <w:iCs/>
        </w:rPr>
        <w:tab/>
      </w:r>
      <w:r>
        <w:t>Aukin þekking dýralækna á sýklalyfjaónæmi, notkun sýklalyfja og sóttvörnum</w:t>
      </w:r>
      <w:r w:rsidRPr="008A28D9">
        <w:t>.</w:t>
      </w:r>
      <w:bookmarkEnd w:id="7"/>
      <w:r>
        <w:t xml:space="preserve"> </w:t>
      </w:r>
    </w:p>
    <w:p w14:paraId="5E79F478" w14:textId="77777777" w:rsidR="00DE2491" w:rsidRDefault="00DE2491" w:rsidP="00DE2491">
      <w:pPr>
        <w:pStyle w:val="Mlsgreinlista"/>
        <w:ind w:left="1985" w:hanging="1134"/>
        <w:contextualSpacing w:val="0"/>
      </w:pPr>
    </w:p>
    <w:p w14:paraId="38320273" w14:textId="51CDBBB2" w:rsidR="00BB6B10" w:rsidRDefault="00BB6B10" w:rsidP="007F5B17">
      <w:pPr>
        <w:pStyle w:val="Millifyrirsgn2"/>
      </w:pPr>
      <w:r w:rsidRPr="0022394A">
        <w:t>2.4.</w:t>
      </w:r>
      <w:r w:rsidRPr="0022394A">
        <w:tab/>
      </w:r>
      <w:r w:rsidR="007F5B17">
        <w:t xml:space="preserve"> </w:t>
      </w:r>
      <w:r w:rsidRPr="0022394A">
        <w:t>Auka þekkingu matvælaframleiðenda og annarra matvælafyrirtækja á sýklalyfjaónæmi, notkun sýklalyfja og sóttvörnum.</w:t>
      </w:r>
    </w:p>
    <w:p w14:paraId="7194C26D" w14:textId="6DC9CF52" w:rsidR="00BB6B10" w:rsidRPr="008A28D9" w:rsidRDefault="00BB6B10" w:rsidP="007F5B17">
      <w:pPr>
        <w:rPr>
          <w:b/>
          <w:bCs/>
        </w:rPr>
      </w:pPr>
      <w:r w:rsidRPr="008A28D9">
        <w:rPr>
          <w:i/>
          <w:iCs/>
        </w:rPr>
        <w:t>Ábyrgð:</w:t>
      </w:r>
      <w:r w:rsidRPr="008A28D9">
        <w:rPr>
          <w:i/>
          <w:iCs/>
        </w:rPr>
        <w:tab/>
      </w:r>
      <w:r>
        <w:t>M</w:t>
      </w:r>
      <w:r w:rsidR="00FE535F">
        <w:t>atvælastofnun</w:t>
      </w:r>
      <w:r w:rsidRPr="008A28D9">
        <w:t>.</w:t>
      </w:r>
    </w:p>
    <w:p w14:paraId="72F3C8D4" w14:textId="59A458AA" w:rsidR="00BB6B10" w:rsidRDefault="00BB6B10" w:rsidP="007F5B17">
      <w:r w:rsidRPr="008A28D9">
        <w:rPr>
          <w:i/>
          <w:iCs/>
        </w:rPr>
        <w:t xml:space="preserve">Afurð: </w:t>
      </w:r>
      <w:r w:rsidRPr="008A28D9">
        <w:rPr>
          <w:i/>
          <w:iCs/>
        </w:rPr>
        <w:tab/>
      </w:r>
      <w:r w:rsidR="00DE2491">
        <w:rPr>
          <w:i/>
          <w:iCs/>
        </w:rPr>
        <w:tab/>
      </w:r>
      <w:r>
        <w:t>Aukin þekking dýralækna á sýklalyfjaónæmi, notkun sýklalyfja og sóttvörnum</w:t>
      </w:r>
      <w:r w:rsidRPr="008A28D9">
        <w:t>.</w:t>
      </w:r>
    </w:p>
    <w:p w14:paraId="05B3B145" w14:textId="77777777" w:rsidR="00DE2491" w:rsidRPr="0022394A" w:rsidRDefault="00DE2491" w:rsidP="00DE2491">
      <w:pPr>
        <w:pStyle w:val="Mlsgreinlista"/>
        <w:spacing w:line="259" w:lineRule="auto"/>
        <w:ind w:left="992" w:hanging="142"/>
        <w:contextualSpacing w:val="0"/>
      </w:pPr>
    </w:p>
    <w:p w14:paraId="0D6C6953" w14:textId="77777777" w:rsidR="00BB6B10" w:rsidRDefault="00BB6B10" w:rsidP="007F5B17">
      <w:pPr>
        <w:pStyle w:val="Millifyrirsgn2"/>
      </w:pPr>
      <w:r w:rsidRPr="00EC04F3">
        <w:t>2.5.</w:t>
      </w:r>
      <w:r w:rsidRPr="00EC04F3">
        <w:tab/>
        <w:t>Minnka líkur á sýkingum hjá almenningi í samfélaginu.</w:t>
      </w:r>
    </w:p>
    <w:p w14:paraId="131155D2" w14:textId="5479854C" w:rsidR="00BB6B10" w:rsidRPr="008A28D9" w:rsidRDefault="00BB6B10" w:rsidP="007F5B17">
      <w:pPr>
        <w:rPr>
          <w:b/>
          <w:bCs/>
        </w:rPr>
      </w:pPr>
      <w:r w:rsidRPr="008A28D9">
        <w:rPr>
          <w:i/>
          <w:iCs/>
        </w:rPr>
        <w:t xml:space="preserve">Ábyrgð: </w:t>
      </w:r>
      <w:r w:rsidR="00DE2491">
        <w:rPr>
          <w:i/>
          <w:iCs/>
        </w:rPr>
        <w:tab/>
      </w:r>
      <w:r w:rsidR="00DE2491">
        <w:rPr>
          <w:i/>
          <w:iCs/>
        </w:rPr>
        <w:tab/>
      </w:r>
      <w:r w:rsidRPr="008A28D9">
        <w:rPr>
          <w:i/>
          <w:iCs/>
        </w:rPr>
        <w:tab/>
      </w:r>
      <w:r>
        <w:t>Sóttvarnalæknir</w:t>
      </w:r>
      <w:r w:rsidRPr="008A28D9">
        <w:t>.</w:t>
      </w:r>
    </w:p>
    <w:p w14:paraId="1B160367" w14:textId="57D13C5B" w:rsidR="00BB6B10" w:rsidRDefault="00BB6B10" w:rsidP="007F5B17">
      <w:r w:rsidRPr="008A28D9">
        <w:rPr>
          <w:i/>
          <w:iCs/>
        </w:rPr>
        <w:t xml:space="preserve">Afurð: </w:t>
      </w:r>
      <w:r w:rsidRPr="008A28D9">
        <w:rPr>
          <w:i/>
          <w:iCs/>
        </w:rPr>
        <w:tab/>
      </w:r>
      <w:r w:rsidR="00DE2491">
        <w:rPr>
          <w:i/>
          <w:iCs/>
        </w:rPr>
        <w:tab/>
      </w:r>
      <w:r>
        <w:t>Faraldsfræði tilgreindra sýkinga þekkt.</w:t>
      </w:r>
    </w:p>
    <w:p w14:paraId="387B95A4" w14:textId="77777777" w:rsidR="00DE2491" w:rsidRPr="003B4DFA" w:rsidRDefault="00DE2491" w:rsidP="00DE2491">
      <w:pPr>
        <w:pStyle w:val="Mlsgreinlista"/>
        <w:spacing w:line="259" w:lineRule="auto"/>
        <w:ind w:left="993" w:hanging="142"/>
        <w:contextualSpacing w:val="0"/>
        <w:rPr>
          <w:b/>
          <w:bCs/>
        </w:rPr>
      </w:pPr>
    </w:p>
    <w:p w14:paraId="368D3D0B" w14:textId="490C5325" w:rsidR="00BB6B10" w:rsidRDefault="007F5B17" w:rsidP="007F5B17">
      <w:pPr>
        <w:pStyle w:val="Millifyrirsgn1"/>
      </w:pPr>
      <w:bookmarkStart w:id="8" w:name="_Hlk177116364"/>
      <w:r>
        <w:t xml:space="preserve">3. </w:t>
      </w:r>
      <w:r w:rsidR="00BB6B10" w:rsidRPr="003B4DFA">
        <w:t>Bæta þekkingu á sýklalyfjaónæmi með vöktun og vísindarannsóknum</w:t>
      </w:r>
      <w:r w:rsidR="00BB6B10" w:rsidRPr="000E2BD5">
        <w:t xml:space="preserve">. </w:t>
      </w:r>
    </w:p>
    <w:p w14:paraId="5BC8CA3A" w14:textId="71598E6D" w:rsidR="00DE2491" w:rsidRDefault="00DE2491" w:rsidP="007F5B17">
      <w:r>
        <w:t xml:space="preserve">Í </w:t>
      </w:r>
      <w:r w:rsidR="00C217E5">
        <w:t xml:space="preserve">þessari </w:t>
      </w:r>
      <w:r>
        <w:t xml:space="preserve">aðgerð </w:t>
      </w:r>
      <w:r w:rsidR="00C217E5">
        <w:t>verði</w:t>
      </w:r>
      <w:r>
        <w:t xml:space="preserve"> sett eftirfarandi sex markmið til að </w:t>
      </w:r>
      <w:r w:rsidR="009A4DB0">
        <w:t>bæta þekkingu á sýklalyfjaónæmi með vöktun og vísindarannsóknum</w:t>
      </w:r>
      <w:r w:rsidR="00C217E5">
        <w:t>.</w:t>
      </w:r>
    </w:p>
    <w:p w14:paraId="0A7991B2" w14:textId="77777777" w:rsidR="007F5B17" w:rsidRPr="000E2BD5" w:rsidRDefault="007F5B17" w:rsidP="007F5B17"/>
    <w:bookmarkEnd w:id="8"/>
    <w:p w14:paraId="636B926E" w14:textId="2C1AC227" w:rsidR="00BB6B10" w:rsidRDefault="00BB6B10" w:rsidP="007F5B17">
      <w:pPr>
        <w:pStyle w:val="Millifyrirsgn2"/>
      </w:pPr>
      <w:r w:rsidRPr="000E2BD5">
        <w:t>3.1.</w:t>
      </w:r>
      <w:r w:rsidR="007F5B17">
        <w:t xml:space="preserve"> </w:t>
      </w:r>
      <w:r w:rsidRPr="000E2BD5">
        <w:tab/>
        <w:t xml:space="preserve">Samræma tilkynningar- og skráningarskyldu á öllum sýklalyfjaónæmum bakteríum í anda </w:t>
      </w:r>
      <w:r w:rsidR="00FA2A6C">
        <w:t>e</w:t>
      </w:r>
      <w:r w:rsidRPr="000E2BD5">
        <w:t>innar heilsu.</w:t>
      </w:r>
    </w:p>
    <w:p w14:paraId="30DD7215" w14:textId="58A95C60" w:rsidR="00BB6B10" w:rsidRPr="008A28D9" w:rsidRDefault="00BB6B10" w:rsidP="007F5B17">
      <w:pPr>
        <w:rPr>
          <w:b/>
          <w:bCs/>
        </w:rPr>
      </w:pPr>
      <w:r w:rsidRPr="008A28D9">
        <w:rPr>
          <w:i/>
          <w:iCs/>
        </w:rPr>
        <w:t xml:space="preserve">Ábyrgð: </w:t>
      </w:r>
      <w:r w:rsidRPr="008A28D9">
        <w:rPr>
          <w:i/>
          <w:iCs/>
        </w:rPr>
        <w:tab/>
      </w:r>
      <w:r>
        <w:t>Heilbrigðisráðuneyti</w:t>
      </w:r>
      <w:r w:rsidR="001700AB">
        <w:t xml:space="preserve"> og</w:t>
      </w:r>
      <w:r>
        <w:t xml:space="preserve"> matvælaráðuneyti</w:t>
      </w:r>
      <w:r w:rsidR="00C84620">
        <w:t>.</w:t>
      </w:r>
    </w:p>
    <w:p w14:paraId="3A6E6D97" w14:textId="77777777" w:rsidR="00BB6B10" w:rsidRDefault="00BB6B10" w:rsidP="007F5B17">
      <w:r w:rsidRPr="008A28D9">
        <w:rPr>
          <w:i/>
          <w:iCs/>
        </w:rPr>
        <w:t xml:space="preserve">Afurð: </w:t>
      </w:r>
      <w:r w:rsidRPr="008A28D9">
        <w:rPr>
          <w:i/>
          <w:iCs/>
        </w:rPr>
        <w:tab/>
      </w:r>
      <w:r>
        <w:t>Skráning á tilgreindum sýklalyfjaónæmum bakteríum samræmd.</w:t>
      </w:r>
    </w:p>
    <w:p w14:paraId="29B0A2AB" w14:textId="77777777" w:rsidR="009A4DB0" w:rsidRPr="0022394A" w:rsidRDefault="009A4DB0" w:rsidP="009A4DB0">
      <w:pPr>
        <w:pStyle w:val="Mlsgreinlista"/>
        <w:spacing w:line="259" w:lineRule="auto"/>
        <w:ind w:left="992" w:hanging="142"/>
        <w:contextualSpacing w:val="0"/>
      </w:pPr>
    </w:p>
    <w:p w14:paraId="396F0B27" w14:textId="21D01F48" w:rsidR="00BB6B10" w:rsidRDefault="00BB6B10" w:rsidP="007F5B17">
      <w:pPr>
        <w:pStyle w:val="Millifyrirsgn2"/>
      </w:pPr>
      <w:r w:rsidRPr="00D3582D">
        <w:t>3.2.</w:t>
      </w:r>
      <w:r w:rsidR="007F5B17">
        <w:t xml:space="preserve"> </w:t>
      </w:r>
      <w:r w:rsidRPr="00D3582D">
        <w:tab/>
        <w:t>Bæta yfirsýn og þekkingu á útbreiðslu sýklalyfjaónæmra baktería hjá mönnum.</w:t>
      </w:r>
    </w:p>
    <w:p w14:paraId="740BB414" w14:textId="593EB4FE" w:rsidR="00BB6B10" w:rsidRDefault="00BB6B10" w:rsidP="007F5B17">
      <w:r w:rsidRPr="008A28D9">
        <w:rPr>
          <w:i/>
          <w:iCs/>
        </w:rPr>
        <w:t xml:space="preserve">Ábyrgð: </w:t>
      </w:r>
      <w:r w:rsidRPr="008A28D9">
        <w:rPr>
          <w:i/>
          <w:iCs/>
        </w:rPr>
        <w:tab/>
      </w:r>
      <w:r>
        <w:t>Landspítalinn, sóttvarnalæknir</w:t>
      </w:r>
      <w:r w:rsidR="001700AB">
        <w:t xml:space="preserve"> og</w:t>
      </w:r>
      <w:r>
        <w:t xml:space="preserve"> M</w:t>
      </w:r>
      <w:r w:rsidR="00FE535F">
        <w:t>atvælastofnun</w:t>
      </w:r>
      <w:r>
        <w:t>.</w:t>
      </w:r>
    </w:p>
    <w:p w14:paraId="0008461A" w14:textId="77777777" w:rsidR="00BB6B10" w:rsidRDefault="00BB6B10" w:rsidP="007F5B17">
      <w:r w:rsidRPr="008A28D9">
        <w:rPr>
          <w:i/>
          <w:iCs/>
        </w:rPr>
        <w:t xml:space="preserve">Afurð: </w:t>
      </w:r>
      <w:r w:rsidRPr="008A28D9">
        <w:rPr>
          <w:i/>
          <w:iCs/>
        </w:rPr>
        <w:tab/>
      </w:r>
      <w:r>
        <w:t>Þekkt útbreiðsla tiltekinna sýklalyfjaónæmra baktería hjá mönnum.</w:t>
      </w:r>
    </w:p>
    <w:p w14:paraId="0F06748E" w14:textId="77777777" w:rsidR="009A4DB0" w:rsidRPr="0022394A" w:rsidRDefault="009A4DB0" w:rsidP="009A4DB0">
      <w:pPr>
        <w:pStyle w:val="Mlsgreinlista"/>
        <w:spacing w:line="259" w:lineRule="auto"/>
        <w:ind w:left="992" w:hanging="142"/>
        <w:contextualSpacing w:val="0"/>
      </w:pPr>
    </w:p>
    <w:p w14:paraId="5875F709" w14:textId="484CDC0E" w:rsidR="00BB6B10" w:rsidRDefault="00BB6B10" w:rsidP="007F5B17">
      <w:pPr>
        <w:pStyle w:val="Millifyrirsgn2"/>
      </w:pPr>
      <w:r w:rsidRPr="00180819">
        <w:t>3.3.</w:t>
      </w:r>
      <w:r w:rsidR="007F5B17">
        <w:t xml:space="preserve"> </w:t>
      </w:r>
      <w:r w:rsidRPr="00180819">
        <w:tab/>
        <w:t>Bæta yfirsýn og þekkingu á útbreiðslu sýklalyfjaónæmra baktería hjá dýrum og í matvælum.</w:t>
      </w:r>
    </w:p>
    <w:p w14:paraId="4092F8D3" w14:textId="3D4648D6" w:rsidR="00BB6B10" w:rsidRDefault="00BB6B10" w:rsidP="007F5B17">
      <w:r w:rsidRPr="008A28D9">
        <w:rPr>
          <w:i/>
          <w:iCs/>
        </w:rPr>
        <w:t xml:space="preserve">Ábyrgð: </w:t>
      </w:r>
      <w:r w:rsidRPr="008A28D9">
        <w:rPr>
          <w:i/>
          <w:iCs/>
        </w:rPr>
        <w:tab/>
      </w:r>
      <w:r>
        <w:t>Matvælaráðuneyti</w:t>
      </w:r>
      <w:r w:rsidR="001700AB">
        <w:t xml:space="preserve"> og</w:t>
      </w:r>
      <w:r>
        <w:t xml:space="preserve"> </w:t>
      </w:r>
      <w:r w:rsidR="00FE535F">
        <w:t>Matvælastofnun</w:t>
      </w:r>
      <w:r>
        <w:t>.</w:t>
      </w:r>
    </w:p>
    <w:p w14:paraId="616094FC" w14:textId="17B7E869" w:rsidR="00BB6B10" w:rsidRDefault="00BB6B10" w:rsidP="007F5B17">
      <w:r w:rsidRPr="008A28D9">
        <w:rPr>
          <w:i/>
          <w:iCs/>
        </w:rPr>
        <w:t xml:space="preserve">Afurð: </w:t>
      </w:r>
      <w:r w:rsidRPr="008A28D9">
        <w:rPr>
          <w:i/>
          <w:iCs/>
        </w:rPr>
        <w:tab/>
      </w:r>
      <w:r>
        <w:t xml:space="preserve">Þekkt útbreiðsla tiltekinna sýklalyfjaónæmra baktería </w:t>
      </w:r>
      <w:r w:rsidR="00492638">
        <w:t xml:space="preserve">í </w:t>
      </w:r>
      <w:r>
        <w:t>hópum dýra.</w:t>
      </w:r>
    </w:p>
    <w:p w14:paraId="374FCE97" w14:textId="77777777" w:rsidR="009A4DB0" w:rsidRPr="0022394A" w:rsidRDefault="009A4DB0" w:rsidP="009A4DB0">
      <w:pPr>
        <w:pStyle w:val="Mlsgreinlista"/>
        <w:spacing w:line="259" w:lineRule="auto"/>
        <w:ind w:left="992" w:hanging="142"/>
        <w:contextualSpacing w:val="0"/>
      </w:pPr>
    </w:p>
    <w:p w14:paraId="51407BAF" w14:textId="5671F20E" w:rsidR="00BB6B10" w:rsidRDefault="00BB6B10" w:rsidP="007F5B17">
      <w:pPr>
        <w:pStyle w:val="Millifyrirsgn2"/>
      </w:pPr>
      <w:r w:rsidRPr="00180819">
        <w:t>3.4.</w:t>
      </w:r>
      <w:r w:rsidR="007F5B17">
        <w:t xml:space="preserve"> </w:t>
      </w:r>
      <w:r w:rsidRPr="00180819">
        <w:tab/>
        <w:t>Bæta yfirsýn og þekkingu á útbreiðslu sýklalyfjaónæmra baktería og sýklalyfjaleifa í umhverfi</w:t>
      </w:r>
      <w:r w:rsidR="00FA2A6C">
        <w:t>nu</w:t>
      </w:r>
      <w:r>
        <w:t>.</w:t>
      </w:r>
    </w:p>
    <w:p w14:paraId="31D5D73F" w14:textId="77777777" w:rsidR="00BB6B10" w:rsidRDefault="00BB6B10" w:rsidP="007F5B17">
      <w:r w:rsidRPr="008A28D9">
        <w:rPr>
          <w:i/>
          <w:iCs/>
        </w:rPr>
        <w:t xml:space="preserve">Ábyrgð: </w:t>
      </w:r>
      <w:r w:rsidRPr="008A28D9">
        <w:rPr>
          <w:i/>
          <w:iCs/>
        </w:rPr>
        <w:tab/>
      </w:r>
      <w:r>
        <w:t>Umhverfisstofnun.</w:t>
      </w:r>
    </w:p>
    <w:p w14:paraId="73AF4A39" w14:textId="375BB2D6" w:rsidR="00BB6B10" w:rsidRDefault="00BB6B10" w:rsidP="007F5B17">
      <w:r w:rsidRPr="008A28D9">
        <w:rPr>
          <w:i/>
          <w:iCs/>
        </w:rPr>
        <w:t xml:space="preserve">Afurð: </w:t>
      </w:r>
      <w:r w:rsidRPr="008A28D9">
        <w:rPr>
          <w:i/>
          <w:iCs/>
        </w:rPr>
        <w:tab/>
      </w:r>
      <w:r>
        <w:t>Þekkt útbreiðsla tiltekinna sýklalyfjaónæmra baktería og sýklalyfjaleifa í umhverfi</w:t>
      </w:r>
      <w:r w:rsidR="00FA2A6C">
        <w:t>nu</w:t>
      </w:r>
      <w:r>
        <w:t>.</w:t>
      </w:r>
    </w:p>
    <w:p w14:paraId="7ADCB292" w14:textId="77777777" w:rsidR="009A4DB0" w:rsidRPr="0022394A" w:rsidRDefault="009A4DB0" w:rsidP="009A4DB0">
      <w:pPr>
        <w:pStyle w:val="Mlsgreinlista"/>
        <w:spacing w:line="259" w:lineRule="auto"/>
        <w:ind w:left="992" w:hanging="142"/>
        <w:contextualSpacing w:val="0"/>
      </w:pPr>
    </w:p>
    <w:p w14:paraId="26BF71B5" w14:textId="2B833638" w:rsidR="00BB6B10" w:rsidRDefault="00BB6B10" w:rsidP="007F5B17">
      <w:pPr>
        <w:pStyle w:val="Millifyrirsgn2"/>
      </w:pPr>
      <w:r w:rsidRPr="00180819">
        <w:t>3.5.</w:t>
      </w:r>
      <w:r w:rsidR="007F5B17">
        <w:t xml:space="preserve"> </w:t>
      </w:r>
      <w:r w:rsidRPr="00180819">
        <w:tab/>
        <w:t xml:space="preserve">Efla grunnrannsóknir á sýklalyfjaónæmi í anda </w:t>
      </w:r>
      <w:r w:rsidR="00492638">
        <w:t>e</w:t>
      </w:r>
      <w:r w:rsidRPr="00180819">
        <w:t>innar heilsu.</w:t>
      </w:r>
    </w:p>
    <w:p w14:paraId="1979F01E" w14:textId="77777777" w:rsidR="00BB6B10" w:rsidRDefault="00BB6B10" w:rsidP="007F5B17">
      <w:bookmarkStart w:id="9" w:name="_Hlk172816629"/>
      <w:r w:rsidRPr="008A28D9">
        <w:rPr>
          <w:i/>
          <w:iCs/>
        </w:rPr>
        <w:t xml:space="preserve">Ábyrgð: </w:t>
      </w:r>
      <w:r w:rsidRPr="008A28D9">
        <w:rPr>
          <w:i/>
          <w:iCs/>
        </w:rPr>
        <w:tab/>
      </w:r>
      <w:r>
        <w:t>Matvælaráðuneyti.</w:t>
      </w:r>
    </w:p>
    <w:p w14:paraId="75FD6DAF" w14:textId="77777777" w:rsidR="00BB6B10" w:rsidRDefault="00BB6B10" w:rsidP="007F5B17">
      <w:r w:rsidRPr="008A28D9">
        <w:rPr>
          <w:i/>
          <w:iCs/>
        </w:rPr>
        <w:t xml:space="preserve">Afurð: </w:t>
      </w:r>
      <w:r w:rsidRPr="008A28D9">
        <w:rPr>
          <w:i/>
          <w:iCs/>
        </w:rPr>
        <w:tab/>
      </w:r>
      <w:r>
        <w:t>Aukin þekking á sýklalyfjaónæmi og útbreiðslu þess.</w:t>
      </w:r>
    </w:p>
    <w:p w14:paraId="50E38779" w14:textId="77777777" w:rsidR="009A4DB0" w:rsidRPr="0022394A" w:rsidRDefault="009A4DB0" w:rsidP="009A4DB0">
      <w:pPr>
        <w:pStyle w:val="Mlsgreinlista"/>
        <w:spacing w:line="259" w:lineRule="auto"/>
        <w:ind w:left="992" w:hanging="142"/>
        <w:contextualSpacing w:val="0"/>
      </w:pPr>
    </w:p>
    <w:bookmarkEnd w:id="9"/>
    <w:p w14:paraId="1665DB06" w14:textId="6905C9B9" w:rsidR="00BB6B10" w:rsidRDefault="00BB6B10" w:rsidP="007F5B17">
      <w:pPr>
        <w:pStyle w:val="Millifyrirsgn2"/>
      </w:pPr>
      <w:r w:rsidRPr="00452975">
        <w:t>3.6.</w:t>
      </w:r>
      <w:r w:rsidR="007F5B17">
        <w:t xml:space="preserve"> </w:t>
      </w:r>
      <w:r w:rsidRPr="00452975">
        <w:tab/>
        <w:t xml:space="preserve">Efla og samræma heilgenaraðgreiningar á öllum sýklalyfjaónæmum bakteríum í anda </w:t>
      </w:r>
      <w:r w:rsidR="00492638">
        <w:t>e</w:t>
      </w:r>
      <w:r w:rsidRPr="00452975">
        <w:t>innar heilsu.</w:t>
      </w:r>
    </w:p>
    <w:p w14:paraId="5C901FD0" w14:textId="77777777" w:rsidR="00BB6B10" w:rsidRDefault="00BB6B10" w:rsidP="007F5B17">
      <w:bookmarkStart w:id="10" w:name="_Hlk172816800"/>
      <w:bookmarkStart w:id="11" w:name="_Hlk172816864"/>
      <w:r w:rsidRPr="008A28D9">
        <w:rPr>
          <w:i/>
          <w:iCs/>
        </w:rPr>
        <w:t xml:space="preserve">Ábyrgð: </w:t>
      </w:r>
      <w:r w:rsidRPr="008A28D9">
        <w:rPr>
          <w:i/>
          <w:iCs/>
        </w:rPr>
        <w:tab/>
      </w:r>
      <w:r>
        <w:t>Heilbrigðisráðuneyti.</w:t>
      </w:r>
    </w:p>
    <w:p w14:paraId="202155F7" w14:textId="77777777" w:rsidR="00BB6B10" w:rsidRDefault="00BB6B10" w:rsidP="007F5B17">
      <w:r w:rsidRPr="008A28D9">
        <w:rPr>
          <w:i/>
          <w:iCs/>
        </w:rPr>
        <w:t xml:space="preserve">Afurð: </w:t>
      </w:r>
      <w:r w:rsidRPr="008A28D9">
        <w:rPr>
          <w:i/>
          <w:iCs/>
        </w:rPr>
        <w:tab/>
      </w:r>
      <w:r>
        <w:t>Allar heilraðagreiningar á sýklalyfjaónæmum bakteríum gerðar á Íslandi</w:t>
      </w:r>
      <w:bookmarkEnd w:id="10"/>
      <w:r>
        <w:t>.</w:t>
      </w:r>
    </w:p>
    <w:p w14:paraId="299E8446" w14:textId="77777777" w:rsidR="009A4DB0" w:rsidRPr="0022394A" w:rsidRDefault="009A4DB0" w:rsidP="009A4DB0">
      <w:pPr>
        <w:pStyle w:val="Mlsgreinlista"/>
        <w:spacing w:line="259" w:lineRule="auto"/>
        <w:ind w:left="993" w:hanging="142"/>
        <w:contextualSpacing w:val="0"/>
      </w:pPr>
    </w:p>
    <w:p w14:paraId="39EBB1AF" w14:textId="13FB2451" w:rsidR="00BB6B10" w:rsidRDefault="007F5B17" w:rsidP="007F5B17">
      <w:pPr>
        <w:pStyle w:val="Millifyrirsgn1"/>
      </w:pPr>
      <w:bookmarkStart w:id="12" w:name="_Hlk177116463"/>
      <w:bookmarkEnd w:id="11"/>
      <w:r>
        <w:t xml:space="preserve">4. </w:t>
      </w:r>
      <w:r w:rsidR="00BB6B10" w:rsidRPr="00E678FF">
        <w:t>Hefta útbreiðslu sýklalyfjaónæmis með íhlutandi aðgerðum</w:t>
      </w:r>
      <w:r w:rsidR="00BB6B10">
        <w:t>.</w:t>
      </w:r>
    </w:p>
    <w:p w14:paraId="66C2DE84" w14:textId="57473B56" w:rsidR="009A4DB0" w:rsidRDefault="009A4DB0" w:rsidP="007F5B17">
      <w:r w:rsidRPr="009A4DB0">
        <w:t xml:space="preserve">Í </w:t>
      </w:r>
      <w:r w:rsidR="00492638">
        <w:t xml:space="preserve">þessari </w:t>
      </w:r>
      <w:r w:rsidRPr="009A4DB0">
        <w:t xml:space="preserve">aðgerð eru sett eftirfarandi </w:t>
      </w:r>
      <w:r>
        <w:t>fimm</w:t>
      </w:r>
      <w:r w:rsidRPr="009A4DB0">
        <w:t xml:space="preserve"> markmið sem stefnt skuli að til að </w:t>
      </w:r>
      <w:r>
        <w:t>hefta útbreiðslu sýklalyfjaónæmis með íhlutandi aðgerðum:</w:t>
      </w:r>
    </w:p>
    <w:p w14:paraId="18915388" w14:textId="77777777" w:rsidR="007F5B17" w:rsidRPr="009A4DB0" w:rsidRDefault="007F5B17" w:rsidP="007F5B17"/>
    <w:bookmarkEnd w:id="12"/>
    <w:p w14:paraId="220C4EF5" w14:textId="5FF72543" w:rsidR="00BB6B10" w:rsidRPr="00E678FF" w:rsidRDefault="00BB6B10" w:rsidP="007F5B17">
      <w:pPr>
        <w:pStyle w:val="Millifyrirsgn2"/>
      </w:pPr>
      <w:r w:rsidRPr="00E678FF">
        <w:t>4.1.</w:t>
      </w:r>
      <w:r w:rsidR="007F5B17">
        <w:t xml:space="preserve"> </w:t>
      </w:r>
      <w:r w:rsidRPr="00E678FF">
        <w:tab/>
        <w:t xml:space="preserve">Tryggja viðeigandi viðbrögð við greiningu tiltekinna ónæmra baktería hjá mönnum með gerð leiðbeininga. </w:t>
      </w:r>
    </w:p>
    <w:p w14:paraId="4D3DD250" w14:textId="77777777" w:rsidR="00BB6B10" w:rsidRDefault="00BB6B10" w:rsidP="007F5B17">
      <w:bookmarkStart w:id="13" w:name="_Hlk172817340"/>
      <w:r w:rsidRPr="008A28D9">
        <w:rPr>
          <w:i/>
          <w:iCs/>
        </w:rPr>
        <w:t xml:space="preserve">Ábyrgð: </w:t>
      </w:r>
      <w:r w:rsidRPr="008A28D9">
        <w:rPr>
          <w:i/>
          <w:iCs/>
        </w:rPr>
        <w:tab/>
      </w:r>
      <w:r>
        <w:t>Sóttvarnalæknir.</w:t>
      </w:r>
    </w:p>
    <w:p w14:paraId="57BA2193" w14:textId="77777777" w:rsidR="00BB6B10" w:rsidRDefault="00BB6B10" w:rsidP="007F5B17">
      <w:r w:rsidRPr="008A28D9">
        <w:rPr>
          <w:i/>
          <w:iCs/>
        </w:rPr>
        <w:t xml:space="preserve">Afurð: </w:t>
      </w:r>
      <w:r w:rsidRPr="008A28D9">
        <w:rPr>
          <w:i/>
          <w:iCs/>
        </w:rPr>
        <w:tab/>
      </w:r>
      <w:r>
        <w:t>Leiðbeiningar um viðbrögð vegna tiltekinna sýklalyfjaónæmra baktería hjá mönnum tiltækar.</w:t>
      </w:r>
    </w:p>
    <w:p w14:paraId="1A15E156" w14:textId="77777777" w:rsidR="009A4DB0" w:rsidRDefault="009A4DB0" w:rsidP="009A4DB0">
      <w:pPr>
        <w:pStyle w:val="Mlsgreinlista"/>
        <w:spacing w:line="259" w:lineRule="auto"/>
        <w:ind w:left="1701" w:hanging="850"/>
        <w:contextualSpacing w:val="0"/>
      </w:pPr>
    </w:p>
    <w:bookmarkEnd w:id="13"/>
    <w:p w14:paraId="1AA6EE6E" w14:textId="275D667D" w:rsidR="00BB6B10" w:rsidRDefault="00BB6B10" w:rsidP="007F5B17">
      <w:pPr>
        <w:pStyle w:val="Millifyrirsgn2"/>
      </w:pPr>
      <w:r w:rsidRPr="00E678FF">
        <w:lastRenderedPageBreak/>
        <w:t>4.2.</w:t>
      </w:r>
      <w:r w:rsidRPr="00E678FF">
        <w:tab/>
      </w:r>
      <w:r w:rsidR="007F5B17">
        <w:t xml:space="preserve"> </w:t>
      </w:r>
      <w:r w:rsidRPr="00E678FF">
        <w:t xml:space="preserve">Tryggja viðeigandi viðbrögð við greiningu tiltekinna ónæmra baktería hjá dýrum með gerð leiðbeininga. </w:t>
      </w:r>
    </w:p>
    <w:p w14:paraId="1115A644" w14:textId="77777777" w:rsidR="00BB6B10" w:rsidRDefault="00BB6B10" w:rsidP="007F5B17">
      <w:r w:rsidRPr="008A28D9">
        <w:rPr>
          <w:i/>
          <w:iCs/>
        </w:rPr>
        <w:t xml:space="preserve">Ábyrgð: </w:t>
      </w:r>
      <w:r w:rsidRPr="008A28D9">
        <w:rPr>
          <w:i/>
          <w:iCs/>
        </w:rPr>
        <w:tab/>
      </w:r>
      <w:r>
        <w:t>Matvælastofnun.</w:t>
      </w:r>
    </w:p>
    <w:p w14:paraId="069829F1" w14:textId="77777777" w:rsidR="00BB6B10" w:rsidRDefault="00BB6B10" w:rsidP="007F5B17">
      <w:r w:rsidRPr="008A28D9">
        <w:rPr>
          <w:i/>
          <w:iCs/>
        </w:rPr>
        <w:t xml:space="preserve">Afurð: </w:t>
      </w:r>
      <w:r w:rsidRPr="008A28D9">
        <w:rPr>
          <w:i/>
          <w:iCs/>
        </w:rPr>
        <w:tab/>
      </w:r>
      <w:r>
        <w:t>Leiðbeiningar um viðbrögð vegna tiltekinna sýklalyfjaónæmra baktería hjá dýrum tiltækar.</w:t>
      </w:r>
    </w:p>
    <w:p w14:paraId="376E04B2" w14:textId="77777777" w:rsidR="009A4DB0" w:rsidRDefault="009A4DB0" w:rsidP="009A4DB0">
      <w:pPr>
        <w:pStyle w:val="Mlsgreinlista"/>
        <w:spacing w:line="259" w:lineRule="auto"/>
        <w:ind w:left="1701" w:hanging="850"/>
        <w:contextualSpacing w:val="0"/>
      </w:pPr>
    </w:p>
    <w:p w14:paraId="54706904" w14:textId="45319982" w:rsidR="00BB6B10" w:rsidRDefault="00BB6B10" w:rsidP="007F5B17">
      <w:pPr>
        <w:pStyle w:val="Millifyrirsgn2"/>
      </w:pPr>
      <w:r w:rsidRPr="004326D8">
        <w:t>4.3.</w:t>
      </w:r>
      <w:r w:rsidRPr="004326D8">
        <w:tab/>
      </w:r>
      <w:r w:rsidR="007F5B17">
        <w:t xml:space="preserve"> </w:t>
      </w:r>
      <w:r w:rsidRPr="004326D8">
        <w:t xml:space="preserve">Tryggja viðeigandi viðbrögð við greiningu tiltekinna ónæmra baktería í matvælum með gerð leiðbeininga. </w:t>
      </w:r>
    </w:p>
    <w:p w14:paraId="7779B031" w14:textId="77777777" w:rsidR="00BB6B10" w:rsidRDefault="00BB6B10" w:rsidP="007F5B17">
      <w:r w:rsidRPr="008A28D9">
        <w:rPr>
          <w:i/>
          <w:iCs/>
        </w:rPr>
        <w:t xml:space="preserve">Ábyrgð: </w:t>
      </w:r>
      <w:r w:rsidRPr="008A28D9">
        <w:rPr>
          <w:i/>
          <w:iCs/>
        </w:rPr>
        <w:tab/>
      </w:r>
      <w:r>
        <w:t>Matvælastofnun.</w:t>
      </w:r>
    </w:p>
    <w:p w14:paraId="12693DAB" w14:textId="2CAB5091" w:rsidR="00BB6B10" w:rsidRDefault="00BB6B10" w:rsidP="007F5B17">
      <w:r w:rsidRPr="008A28D9">
        <w:rPr>
          <w:i/>
          <w:iCs/>
        </w:rPr>
        <w:t xml:space="preserve">Afurð: </w:t>
      </w:r>
      <w:r w:rsidRPr="008A28D9">
        <w:rPr>
          <w:i/>
          <w:iCs/>
        </w:rPr>
        <w:tab/>
      </w:r>
      <w:r>
        <w:t>Leiðbeiningar um viðbrögð vegna tiltekinna sýklalyfjaónæmra baktería í matvælum tiltækar.</w:t>
      </w:r>
    </w:p>
    <w:p w14:paraId="7FBB8A4D" w14:textId="77777777" w:rsidR="009A4DB0" w:rsidRDefault="009A4DB0" w:rsidP="009A4DB0">
      <w:pPr>
        <w:pStyle w:val="Mlsgreinlista"/>
        <w:spacing w:line="259" w:lineRule="auto"/>
        <w:ind w:left="1701" w:hanging="850"/>
        <w:contextualSpacing w:val="0"/>
      </w:pPr>
    </w:p>
    <w:p w14:paraId="6A6F71F4" w14:textId="1ADAF0BD" w:rsidR="00BB6B10" w:rsidRDefault="00BB6B10" w:rsidP="007F5B17">
      <w:pPr>
        <w:pStyle w:val="Millifyrirsgn2"/>
      </w:pPr>
      <w:r w:rsidRPr="004326D8">
        <w:t>4.4.</w:t>
      </w:r>
      <w:r w:rsidRPr="004326D8">
        <w:tab/>
      </w:r>
      <w:r w:rsidR="007F5B17">
        <w:t xml:space="preserve"> </w:t>
      </w:r>
      <w:r w:rsidRPr="004326D8">
        <w:t xml:space="preserve">Hreinsa </w:t>
      </w:r>
      <w:proofErr w:type="spellStart"/>
      <w:r w:rsidRPr="004326D8">
        <w:t>skólp</w:t>
      </w:r>
      <w:proofErr w:type="spellEnd"/>
      <w:r w:rsidRPr="004326D8">
        <w:t xml:space="preserve"> með viðeigandi hætti til að minnka útbreiðslu á tilteknum sýklalyfjaónæmum bakteríum. </w:t>
      </w:r>
    </w:p>
    <w:p w14:paraId="50739D9E" w14:textId="77777777" w:rsidR="00BB6B10" w:rsidRDefault="00BB6B10" w:rsidP="007F5B17">
      <w:r w:rsidRPr="008A28D9">
        <w:rPr>
          <w:i/>
          <w:iCs/>
        </w:rPr>
        <w:t xml:space="preserve">Ábyrgð: </w:t>
      </w:r>
      <w:r w:rsidRPr="008A28D9">
        <w:rPr>
          <w:i/>
          <w:iCs/>
        </w:rPr>
        <w:tab/>
      </w:r>
      <w:r w:rsidRPr="004326D8">
        <w:t>Umhverfis-, orku- og loftslagsráðuneyti</w:t>
      </w:r>
      <w:r>
        <w:t>.</w:t>
      </w:r>
    </w:p>
    <w:p w14:paraId="7E729986" w14:textId="77777777" w:rsidR="00BB6B10" w:rsidRDefault="00BB6B10" w:rsidP="007F5B17">
      <w:r w:rsidRPr="008A28D9">
        <w:rPr>
          <w:i/>
          <w:iCs/>
        </w:rPr>
        <w:t xml:space="preserve">Afurð: </w:t>
      </w:r>
      <w:r w:rsidRPr="008A28D9">
        <w:rPr>
          <w:i/>
          <w:iCs/>
        </w:rPr>
        <w:tab/>
      </w:r>
      <w:r>
        <w:t>Hlutfall skilgreindra þéttbýla sem hafa hrint af stað framkvæmdum til úrbóta á hreinsun skólps.</w:t>
      </w:r>
    </w:p>
    <w:p w14:paraId="11D731AF" w14:textId="77777777" w:rsidR="009A4DB0" w:rsidRDefault="009A4DB0" w:rsidP="009A4DB0">
      <w:pPr>
        <w:pStyle w:val="Mlsgreinlista"/>
        <w:spacing w:line="259" w:lineRule="auto"/>
        <w:ind w:left="1701" w:hanging="850"/>
        <w:contextualSpacing w:val="0"/>
      </w:pPr>
    </w:p>
    <w:p w14:paraId="0D78B5CD" w14:textId="2D6B8C31" w:rsidR="00BB6B10" w:rsidRDefault="00BB6B10" w:rsidP="007F5B17">
      <w:pPr>
        <w:pStyle w:val="Millifyrirsgn2"/>
      </w:pPr>
      <w:r w:rsidRPr="004326D8">
        <w:t>4.5.</w:t>
      </w:r>
      <w:r w:rsidRPr="004326D8">
        <w:tab/>
      </w:r>
      <w:r w:rsidR="007F5B17">
        <w:t xml:space="preserve"> </w:t>
      </w:r>
      <w:r w:rsidRPr="004326D8">
        <w:t>Tryggja viðeigandi viðbrögð við greiningu tiltekinna ónæmra baktería eða sýklalyfjaleifa í umhverfi</w:t>
      </w:r>
      <w:r w:rsidR="00FA2A6C">
        <w:t>nu</w:t>
      </w:r>
      <w:r w:rsidRPr="004326D8">
        <w:t xml:space="preserve"> með gerð leiðbeininga.</w:t>
      </w:r>
    </w:p>
    <w:p w14:paraId="6AE3205C" w14:textId="77777777" w:rsidR="00BB6B10" w:rsidRPr="007F5B17" w:rsidRDefault="00BB6B10" w:rsidP="007F5B17">
      <w:r w:rsidRPr="007F5B17">
        <w:rPr>
          <w:i/>
          <w:iCs/>
        </w:rPr>
        <w:t>Ábyrgð</w:t>
      </w:r>
      <w:r w:rsidRPr="008A28D9">
        <w:t xml:space="preserve">: </w:t>
      </w:r>
      <w:r w:rsidRPr="007F5B17">
        <w:tab/>
        <w:t>Umhverfisstofnun.</w:t>
      </w:r>
    </w:p>
    <w:p w14:paraId="265D4DAE" w14:textId="51592B3B" w:rsidR="00BB6B10" w:rsidRPr="007F5B17" w:rsidRDefault="00BB6B10" w:rsidP="007F5B17">
      <w:r w:rsidRPr="007F5B17">
        <w:rPr>
          <w:i/>
          <w:iCs/>
        </w:rPr>
        <w:t>Afurð</w:t>
      </w:r>
      <w:r w:rsidRPr="008A28D9">
        <w:t xml:space="preserve">: </w:t>
      </w:r>
      <w:r w:rsidRPr="007F5B17">
        <w:tab/>
        <w:t>Leiðbeiningar til staðar um viðbrögð við greiningu tiltekinna sýklalyfjaónæmra baktería og sýklalyfjaleifa í umhverfi</w:t>
      </w:r>
      <w:r w:rsidR="00FA2A6C">
        <w:t>nu</w:t>
      </w:r>
      <w:r w:rsidRPr="007F5B17">
        <w:t>.</w:t>
      </w:r>
    </w:p>
    <w:p w14:paraId="28DFFA7C" w14:textId="77777777" w:rsidR="009A4DB0" w:rsidRPr="003B4DFA" w:rsidRDefault="009A4DB0" w:rsidP="009A4DB0">
      <w:pPr>
        <w:pStyle w:val="Mlsgreinlista"/>
        <w:spacing w:line="259" w:lineRule="auto"/>
        <w:ind w:left="1701" w:hanging="850"/>
        <w:contextualSpacing w:val="0"/>
        <w:rPr>
          <w:b/>
          <w:bCs/>
        </w:rPr>
      </w:pPr>
    </w:p>
    <w:p w14:paraId="6479C12F" w14:textId="51C51D6B" w:rsidR="00BB6B10" w:rsidRDefault="007F5B17" w:rsidP="007F5B17">
      <w:pPr>
        <w:pStyle w:val="Millifyrirsgn1"/>
      </w:pPr>
      <w:r>
        <w:t xml:space="preserve">5. </w:t>
      </w:r>
      <w:r w:rsidR="00BB6B10" w:rsidRPr="003B4DFA">
        <w:t>Auka þátttöku í alþjóðlegu samstarfi um aðgerðir gegn sýklalyfjaónæmi.</w:t>
      </w:r>
    </w:p>
    <w:p w14:paraId="29F0501B" w14:textId="23B1B29F" w:rsidR="00184312" w:rsidRDefault="00184312" w:rsidP="007F5B17">
      <w:r w:rsidRPr="00184312">
        <w:t xml:space="preserve">Í </w:t>
      </w:r>
      <w:r w:rsidR="00492638">
        <w:t xml:space="preserve">þessari </w:t>
      </w:r>
      <w:r w:rsidRPr="00184312">
        <w:t xml:space="preserve">aðgerð eru sett eftirfarandi </w:t>
      </w:r>
      <w:r>
        <w:t>þrjú</w:t>
      </w:r>
      <w:r w:rsidRPr="00184312">
        <w:t xml:space="preserve"> markmið sem stefnt skuli að til að </w:t>
      </w:r>
      <w:r>
        <w:t xml:space="preserve">auka þátttöku í alþjóðlegu samstarfi um aðgerðir gegn sýklalyfjaónæmi: </w:t>
      </w:r>
    </w:p>
    <w:p w14:paraId="1A6D81A8" w14:textId="77777777" w:rsidR="007F5B17" w:rsidRPr="009A4DB0" w:rsidRDefault="007F5B17" w:rsidP="007F5B17"/>
    <w:p w14:paraId="2DF51206" w14:textId="748102E0" w:rsidR="00BB6B10" w:rsidRDefault="00BB6B10" w:rsidP="007F5B17">
      <w:pPr>
        <w:pStyle w:val="Millifyrirsgn2"/>
      </w:pPr>
      <w:r w:rsidRPr="003B4DFA">
        <w:t>5.1.</w:t>
      </w:r>
      <w:r w:rsidR="007F5B17">
        <w:t xml:space="preserve"> </w:t>
      </w:r>
      <w:r w:rsidRPr="003B4DFA">
        <w:tab/>
        <w:t>Efla samstarf við stofnanir Evrópusambandsins.</w:t>
      </w:r>
    </w:p>
    <w:p w14:paraId="2DC143E0" w14:textId="7F62094D" w:rsidR="00BB6B10" w:rsidRDefault="00BB6B10" w:rsidP="007F5B17">
      <w:r w:rsidRPr="008A28D9">
        <w:rPr>
          <w:i/>
          <w:iCs/>
        </w:rPr>
        <w:t xml:space="preserve">Ábyrgð: </w:t>
      </w:r>
      <w:r w:rsidRPr="008A28D9">
        <w:rPr>
          <w:i/>
          <w:iCs/>
        </w:rPr>
        <w:tab/>
      </w:r>
      <w:r>
        <w:t xml:space="preserve">Sóttvarnalæknir, heilbrigðisráðuneyti, </w:t>
      </w:r>
      <w:r w:rsidR="00FE535F">
        <w:t>M</w:t>
      </w:r>
      <w:r>
        <w:t>atvælastofnun</w:t>
      </w:r>
      <w:r w:rsidR="00BD3D12">
        <w:t xml:space="preserve"> og</w:t>
      </w:r>
      <w:r>
        <w:t xml:space="preserve"> matvælaráðuneyti.</w:t>
      </w:r>
    </w:p>
    <w:p w14:paraId="6A55BE17" w14:textId="4D1BE43C" w:rsidR="00BB6B10" w:rsidRDefault="00BB6B10" w:rsidP="007F5B17">
      <w:r w:rsidRPr="008A28D9">
        <w:rPr>
          <w:i/>
          <w:iCs/>
        </w:rPr>
        <w:t xml:space="preserve">Afurð: </w:t>
      </w:r>
      <w:r w:rsidRPr="008A28D9">
        <w:rPr>
          <w:i/>
          <w:iCs/>
        </w:rPr>
        <w:tab/>
      </w:r>
      <w:r>
        <w:t>Aukin þátttaka í starfi stofnan</w:t>
      </w:r>
      <w:r w:rsidR="00FE535F">
        <w:t>a</w:t>
      </w:r>
      <w:r>
        <w:t xml:space="preserve"> Evrópusambandsins um málefni er varða sýklalyfjaónæmi.</w:t>
      </w:r>
    </w:p>
    <w:p w14:paraId="3F22C6F9" w14:textId="77777777" w:rsidR="00184312" w:rsidRDefault="00184312" w:rsidP="00184312">
      <w:pPr>
        <w:pStyle w:val="Mlsgreinlista"/>
        <w:spacing w:line="259" w:lineRule="auto"/>
        <w:ind w:left="1701" w:hanging="850"/>
        <w:contextualSpacing w:val="0"/>
      </w:pPr>
    </w:p>
    <w:p w14:paraId="766A70C3" w14:textId="4D123904" w:rsidR="00BB6B10" w:rsidRDefault="007F5B17" w:rsidP="007F5B17">
      <w:pPr>
        <w:pStyle w:val="Millifyrirsgn2"/>
      </w:pPr>
      <w:r>
        <w:t xml:space="preserve">5.2. </w:t>
      </w:r>
      <w:r w:rsidR="00BB6B10" w:rsidRPr="003B4DFA">
        <w:t>Efla samstarf við alþjóðlegar stofnanir.</w:t>
      </w:r>
    </w:p>
    <w:p w14:paraId="6C74E512" w14:textId="3BB6B5A5" w:rsidR="00BB6B10" w:rsidRDefault="00BB6B10" w:rsidP="007F5B17">
      <w:r w:rsidRPr="008A28D9">
        <w:rPr>
          <w:i/>
          <w:iCs/>
        </w:rPr>
        <w:t xml:space="preserve">Ábyrgð: </w:t>
      </w:r>
      <w:r w:rsidRPr="008A28D9">
        <w:rPr>
          <w:i/>
          <w:iCs/>
        </w:rPr>
        <w:tab/>
      </w:r>
      <w:r>
        <w:t>Sóttvarnalæknir</w:t>
      </w:r>
      <w:r w:rsidR="00BD3D12">
        <w:t xml:space="preserve"> og</w:t>
      </w:r>
      <w:r>
        <w:t xml:space="preserve"> </w:t>
      </w:r>
      <w:r w:rsidR="00FE535F">
        <w:t>M</w:t>
      </w:r>
      <w:r>
        <w:t>atvælastofnun.</w:t>
      </w:r>
    </w:p>
    <w:p w14:paraId="5B84C3AC" w14:textId="77777777" w:rsidR="00BB6B10" w:rsidRDefault="00BB6B10" w:rsidP="007F5B17">
      <w:r w:rsidRPr="008A28D9">
        <w:rPr>
          <w:i/>
          <w:iCs/>
        </w:rPr>
        <w:t xml:space="preserve">Afurð: </w:t>
      </w:r>
      <w:r w:rsidRPr="008A28D9">
        <w:rPr>
          <w:i/>
          <w:iCs/>
        </w:rPr>
        <w:tab/>
      </w:r>
      <w:r>
        <w:t>Aukin þátttaka í alþjóðlegu starfi um málefni er varða sýklalyfjaónæmi.</w:t>
      </w:r>
    </w:p>
    <w:p w14:paraId="6C4586A4" w14:textId="77777777" w:rsidR="00184312" w:rsidRDefault="00184312" w:rsidP="00184312">
      <w:pPr>
        <w:pStyle w:val="Mlsgreinlista"/>
        <w:spacing w:line="259" w:lineRule="auto"/>
        <w:ind w:left="1701" w:hanging="850"/>
        <w:contextualSpacing w:val="0"/>
      </w:pPr>
    </w:p>
    <w:p w14:paraId="0F537920" w14:textId="4F223062" w:rsidR="00BB6B10" w:rsidRDefault="00BB6B10" w:rsidP="007F5B17">
      <w:pPr>
        <w:pStyle w:val="Millifyrirsgn2"/>
      </w:pPr>
      <w:r w:rsidRPr="003B4DFA">
        <w:t>5.3.</w:t>
      </w:r>
      <w:r w:rsidRPr="003B4DFA">
        <w:tab/>
      </w:r>
      <w:r w:rsidR="007F5B17">
        <w:t xml:space="preserve"> </w:t>
      </w:r>
      <w:r w:rsidRPr="003B4DFA">
        <w:t>Efla norrænt samstarf.</w:t>
      </w:r>
    </w:p>
    <w:p w14:paraId="105A79B9" w14:textId="36ED1AB9" w:rsidR="00BB6B10" w:rsidRDefault="00BB6B10" w:rsidP="007F5B17">
      <w:r w:rsidRPr="008A28D9">
        <w:rPr>
          <w:i/>
          <w:iCs/>
        </w:rPr>
        <w:t xml:space="preserve">Ábyrgð: </w:t>
      </w:r>
      <w:r w:rsidRPr="008A28D9">
        <w:rPr>
          <w:i/>
          <w:iCs/>
        </w:rPr>
        <w:tab/>
      </w:r>
      <w:r>
        <w:t>Sóttvarnalæknir</w:t>
      </w:r>
      <w:r w:rsidR="00BD3D12">
        <w:t xml:space="preserve"> og</w:t>
      </w:r>
      <w:r>
        <w:t xml:space="preserve"> heilbrigðisráðuneyti.</w:t>
      </w:r>
    </w:p>
    <w:p w14:paraId="79FC716A" w14:textId="77777777" w:rsidR="00BB6B10" w:rsidRDefault="00BB6B10" w:rsidP="007F5B17">
      <w:r w:rsidRPr="008A28D9">
        <w:rPr>
          <w:i/>
          <w:iCs/>
        </w:rPr>
        <w:t xml:space="preserve">Afurð: </w:t>
      </w:r>
      <w:r w:rsidRPr="008A28D9">
        <w:rPr>
          <w:i/>
          <w:iCs/>
        </w:rPr>
        <w:tab/>
      </w:r>
      <w:r>
        <w:t>Aukin þátttaka í alþjóðlegu starfi um málefni er varða sýklalyfjaónæmi.</w:t>
      </w:r>
    </w:p>
    <w:p w14:paraId="35CFE17A" w14:textId="77777777" w:rsidR="00184312" w:rsidRDefault="00184312" w:rsidP="00184312">
      <w:pPr>
        <w:pStyle w:val="Mlsgreinlista"/>
        <w:spacing w:line="259" w:lineRule="auto"/>
        <w:ind w:left="1701" w:hanging="850"/>
        <w:contextualSpacing w:val="0"/>
      </w:pPr>
    </w:p>
    <w:p w14:paraId="6497ED16" w14:textId="65CD9714" w:rsidR="00BB6B10" w:rsidRPr="007F5B17" w:rsidRDefault="001700AB" w:rsidP="001700AB">
      <w:pPr>
        <w:pStyle w:val="Millifyrirsgn1"/>
      </w:pPr>
      <w:bookmarkStart w:id="14" w:name="_Ref155737496"/>
      <w:r>
        <w:t xml:space="preserve">6. </w:t>
      </w:r>
      <w:r w:rsidR="00BB6B10" w:rsidRPr="007F5B17">
        <w:t>Tryggja samhæfingu og stjórn aðgerða gegn sýklalyfjaónæmi til framtíðar.</w:t>
      </w:r>
      <w:bookmarkEnd w:id="14"/>
    </w:p>
    <w:p w14:paraId="3FF9CE6B" w14:textId="269C5145" w:rsidR="0082516E" w:rsidRDefault="0082516E" w:rsidP="001700AB">
      <w:r>
        <w:t xml:space="preserve">Í </w:t>
      </w:r>
      <w:r w:rsidRPr="0082516E">
        <w:t>þessari aðgerð er eitt markmið</w:t>
      </w:r>
      <w:r w:rsidR="00492638">
        <w:t xml:space="preserve"> til að tryggja innleiðingu og framkvæmd aðgerða gegn sýklalyfjaónæmi til framtíðar.</w:t>
      </w:r>
    </w:p>
    <w:p w14:paraId="7DCDA4D7" w14:textId="77777777" w:rsidR="001700AB" w:rsidRPr="00184312" w:rsidRDefault="001700AB" w:rsidP="001700AB"/>
    <w:p w14:paraId="336F4F51" w14:textId="5CC1972A" w:rsidR="00BB6B10" w:rsidRDefault="00BB6B10" w:rsidP="001700AB">
      <w:pPr>
        <w:pStyle w:val="Millifyrirsgn2"/>
      </w:pPr>
      <w:r w:rsidRPr="00EC4FD7">
        <w:t>6</w:t>
      </w:r>
      <w:r w:rsidR="001700AB">
        <w:t xml:space="preserve">.1. </w:t>
      </w:r>
      <w:r w:rsidRPr="00EC4FD7">
        <w:t>Tryggja innleiðingu og framkvæmd aðgerða gegn sýklalyfjaónæmi til framtíðar.</w:t>
      </w:r>
    </w:p>
    <w:p w14:paraId="5042A699" w14:textId="77777777" w:rsidR="00BB6B10" w:rsidRDefault="00BB6B10" w:rsidP="001700AB">
      <w:r w:rsidRPr="008A28D9">
        <w:rPr>
          <w:i/>
          <w:iCs/>
        </w:rPr>
        <w:t xml:space="preserve">Ábyrgð: </w:t>
      </w:r>
      <w:r w:rsidRPr="008A28D9">
        <w:rPr>
          <w:i/>
          <w:iCs/>
        </w:rPr>
        <w:tab/>
      </w:r>
      <w:r>
        <w:t>Heilbrigðisráðuneyti.</w:t>
      </w:r>
    </w:p>
    <w:p w14:paraId="27FE230F" w14:textId="77777777" w:rsidR="00BB6B10" w:rsidRDefault="00BB6B10" w:rsidP="001700AB">
      <w:r w:rsidRPr="008A28D9">
        <w:rPr>
          <w:i/>
          <w:iCs/>
        </w:rPr>
        <w:t xml:space="preserve">Afurð: </w:t>
      </w:r>
      <w:r w:rsidRPr="008A28D9">
        <w:rPr>
          <w:i/>
          <w:iCs/>
        </w:rPr>
        <w:tab/>
      </w:r>
      <w:r>
        <w:t>Samfella og yfirsýn yfir aðgerðir gegn sýklalyfjaónæmi.</w:t>
      </w:r>
    </w:p>
    <w:p w14:paraId="5497A75D" w14:textId="77777777" w:rsidR="00360D6F" w:rsidRDefault="00360D6F" w:rsidP="00360D6F">
      <w:pPr>
        <w:ind w:firstLine="0"/>
        <w:rPr>
          <w:rStyle w:val="Tengill"/>
        </w:rPr>
      </w:pPr>
    </w:p>
    <w:p w14:paraId="6044E1A8" w14:textId="77777777" w:rsidR="00044D6E" w:rsidRPr="002712B5" w:rsidRDefault="00044D6E" w:rsidP="002712B5">
      <w:pPr>
        <w:pStyle w:val="Fyrirsgn-Greinarger"/>
      </w:pPr>
      <w:r w:rsidRPr="002712B5">
        <w:t>Greinargerð.</w:t>
      </w:r>
    </w:p>
    <w:p w14:paraId="01D231AB" w14:textId="77777777" w:rsidR="00BB0F94" w:rsidRPr="00BB0F94" w:rsidRDefault="00BB0F94" w:rsidP="00BB0F94"/>
    <w:p w14:paraId="4D91DC26" w14:textId="3691BF0C" w:rsidR="00044D6E" w:rsidRDefault="003E329E" w:rsidP="003E329E">
      <w:pPr>
        <w:pStyle w:val="Millifyrirsgn1"/>
      </w:pPr>
      <w:r>
        <w:t xml:space="preserve">1. </w:t>
      </w:r>
      <w:r w:rsidR="00044D6E">
        <w:t>Inngangur.</w:t>
      </w:r>
    </w:p>
    <w:p w14:paraId="1BEADE0E" w14:textId="77777777" w:rsidR="002159FF" w:rsidRDefault="00205DAE" w:rsidP="00F31CE8">
      <w:bookmarkStart w:id="15" w:name="_Hlk156476094"/>
      <w:r>
        <w:t>Uppgötvun sýklalyfja fyrir tæpri öld reyndist ein merkilegasta uppgötvun í sögu læknisfræðinnar. Með tilkomu sýklalyfja urðu róttækar breytingar á meðferð alvarlegra sýkinga af völdum baktería bæði hjá mönnum og dýrum og óhætt að fullyrða að þau hafa komið í veg fyrir milljónir dauðsfalla og aðrar alvarlegar afleiðingar sýkinga. Auk þess gera sýklalyf sjúklingum með alvarlega sjúkdóma, eins og krabbamein og ýmsa sjálfsofnæmissjúkdóma, kleift að fá ónæmisbælandi meðferð sem eykur líkur á sýkingum.</w:t>
      </w:r>
      <w:bookmarkEnd w:id="15"/>
    </w:p>
    <w:p w14:paraId="6902A69A" w14:textId="295AD003" w:rsidR="00205DAE" w:rsidRDefault="00205DAE" w:rsidP="00F31CE8">
      <w:r>
        <w:t xml:space="preserve">Með sýklalyfjaónæmi er átt við þá eiginleika sýkla að geta þrifist og fjölgað sér í umhverfi sýklalyfja sem að öllu jöfnu drepa eða hefta vöxt þeirra. Á undanförnum árum hefur ónæmi baktería gegn sýklalyfjum farið vaxandi í heiminum og ógnar það bæði heilsufarslegu öryggi manna og dýra. Árið 2019 lýsti Alþjóðaheilbrigðismálastofnunin (WHO) því yfir </w:t>
      </w:r>
      <w:r w:rsidRPr="002159FF">
        <w:t xml:space="preserve">að sýklalyfjaónæmi væri ein af tíu helstu heilbrigðisógnum sem steðjuðu að heiminum og í júlí 2022 lýsti framkvæmdastjórn Evrópusambandsins því sömuleiðis yfir að sýklalyfjaónæmi væri ein af þremur helstu heilbrigðisógnum aðildarlanda sambandsins. Með vaxandi ónæmi </w:t>
      </w:r>
      <w:r w:rsidRPr="002159FF">
        <w:lastRenderedPageBreak/>
        <w:t>gegn sýklalyfjum mun meðferð sjúklinga með ofangreinda sjúkdóma takmarkast verulega og kostnaður við meðferð þeirra aukast vegna aukins fjölda sem þarf á sjúkrahússinnlögnum að halda og lengri spítalavist. Fæðuöryggi mun enn fremur minnka</w:t>
      </w:r>
      <w:r>
        <w:t xml:space="preserve"> þar sem sýklalyfjaónæmi hefur einnig áhrif á dýraheilbrigði og þar með matvælaframleiðslu.</w:t>
      </w:r>
      <w:r w:rsidR="00EC66FD">
        <w:t xml:space="preserve"> Á alherjarþingi Sameinuðu þjóðanna í september 2024 var gefin út yfirlýsing um mikilvægi baráttunnar gegn sýklalyfaónæmi og þjóðir heims hvattar til að fylgja eftir áðgerðaáætlunum sínum um framkvæmdir</w:t>
      </w:r>
      <w:r w:rsidR="00BB0F94">
        <w:t>.</w:t>
      </w:r>
      <w:r w:rsidR="00EC66FD">
        <w:t xml:space="preserve"> </w:t>
      </w:r>
    </w:p>
    <w:p w14:paraId="7EF6E561" w14:textId="3AD0BA59" w:rsidR="00205DAE" w:rsidRDefault="00205DAE" w:rsidP="00F31CE8">
      <w:r>
        <w:t xml:space="preserve">Vaxandi útbreiðsla sýklalyfjaónæmis veldur erfiðleikum við meðhöndlun sýktra einstaklinga og veldur miklum fjárútlátum. Í nýlegri grein í tímaritinu </w:t>
      </w:r>
      <w:r w:rsidRPr="28D1EC00">
        <w:rPr>
          <w:i/>
          <w:iCs/>
        </w:rPr>
        <w:t>The Lancet</w:t>
      </w:r>
      <w:r>
        <w:t xml:space="preserve"> var áætlað að tæplega 5 milljónir manna hefðu látist í tengslum við sýkingar af völdum sýklalyfjaónæmra baktería á árinu 2019, flestir í suðurhluta Afríku. Þar af hefðu um 1,3 milljónir </w:t>
      </w:r>
      <w:r w:rsidR="00BD3D12">
        <w:t xml:space="preserve">manna </w:t>
      </w:r>
      <w:r>
        <w:t xml:space="preserve">látist vegna beinna áhrifa ónæmra baktería. Því hefur verið spáð að </w:t>
      </w:r>
      <w:r w:rsidRPr="002159FF">
        <w:t>með óbreyttri þróun sýklalyfjaónæmis muni a.m.k. tíu milljónir einstaklinga látast í heiminum árið 2050 vegna sýklalyfjaónæmra baktería og að samdráttur í þjóðarframleiðslu verði um 2</w:t>
      </w:r>
      <w:r w:rsidR="00F31CE8">
        <w:t>–</w:t>
      </w:r>
      <w:r w:rsidRPr="002159FF">
        <w:t>3,5% á heimsvísu.</w:t>
      </w:r>
      <w:r>
        <w:t xml:space="preserve"> Heimsfaraldur COVID-19 og stríðsátök munu þó að líkindum hraða þessari þróun. Samdráttur í þjóðarframleiðslu verður einkum til vegna aukins kostnaðar í heilbrigðiskerfinu af völdum takmarkaðra meðferðarúrræða hjá sjúklingum með sýkingar af völdum sýklalyfjaónæmra baktería</w:t>
      </w:r>
      <w:r w:rsidR="002159FF">
        <w:t xml:space="preserve">. </w:t>
      </w:r>
      <w:r>
        <w:t xml:space="preserve">Margar alþjóðlegar stofnanir eins og Sameinuðu þjóðirnar (UN), Alþjóðaheilbrigðismálastofnunin, Alþjóðadýraheilbrigðisstofnunin (WOAH), Sóttvarnastofnun Evrópusambandsins (ECDC), Efnahags- og framfarastofnunin (OECD) og Matvælaöryggisstofnun Evrópu (EFSA) hafa einnig lýst yfir miklum áhyggjum af vaxandi útbreiðslu sýklalyfjaónæmis og hvatt til aðgerða. </w:t>
      </w:r>
    </w:p>
    <w:p w14:paraId="60CAC1C8" w14:textId="50987420" w:rsidR="00205DAE" w:rsidRDefault="00205DAE" w:rsidP="00F31CE8">
      <w:pPr>
        <w:rPr>
          <w:b/>
          <w:bCs/>
        </w:rPr>
      </w:pPr>
      <w:r>
        <w:t xml:space="preserve">Í júní 2023 gaf framkvæmdastjórn Evrópusambandsins út ítarlega skýrslu þar sem að fram komu tilmæli um aðgerðir gegn sýklalyfjaónæmi í anda </w:t>
      </w:r>
      <w:r w:rsidR="00492638">
        <w:t>e</w:t>
      </w:r>
      <w:r>
        <w:t>innar heilsu (</w:t>
      </w:r>
      <w:r w:rsidR="00567FBF">
        <w:t xml:space="preserve">e. </w:t>
      </w:r>
      <w:r>
        <w:t>One Health) en með því er átt við aðgerðir sem snúa að mönnum, dýrum, matvælum og umhverfi</w:t>
      </w:r>
      <w:r w:rsidR="00FA2A6C">
        <w:t>nu</w:t>
      </w:r>
      <w:r>
        <w:t xml:space="preserve">. Þar kom m.a. fram að öll lönd ættu að stefna að því að </w:t>
      </w:r>
      <w:r w:rsidRPr="002159FF">
        <w:t xml:space="preserve">draga úr heildarnotkun sýklalyfja </w:t>
      </w:r>
      <w:r w:rsidR="00D40031">
        <w:t>manna</w:t>
      </w:r>
      <w:r w:rsidRPr="002159FF">
        <w:t xml:space="preserve"> um a.m.k. 20% fyrir árið 2030 og </w:t>
      </w:r>
      <w:r w:rsidR="007726F3">
        <w:t xml:space="preserve">sýklalyfjagjöf dýra um </w:t>
      </w:r>
      <w:r w:rsidRPr="002159FF">
        <w:t>50%. Með þessum tilmælum er verið að brýna fyrir aðildar</w:t>
      </w:r>
      <w:r w:rsidR="007726F3">
        <w:t>ríkjum</w:t>
      </w:r>
      <w:r w:rsidRPr="002159FF">
        <w:t xml:space="preserve"> að grípa til aðgerða áður en vandamálið verður óyfirstíganlegt.</w:t>
      </w:r>
      <w:r w:rsidRPr="00420048">
        <w:rPr>
          <w:b/>
          <w:bCs/>
        </w:rPr>
        <w:t xml:space="preserve"> </w:t>
      </w:r>
    </w:p>
    <w:p w14:paraId="5D79061F" w14:textId="04DEA1E9" w:rsidR="00205DAE" w:rsidRDefault="00205DAE" w:rsidP="00F31CE8">
      <w:r>
        <w:t>Mikilvægt er að varðveita virkni þeirra sýklalyfja sem nú eru á markaði því á þessari stundu eru fá ný sýklalyf í rannsóknar- og/eða samþykktarferli. Alþjóðaheilbrigðismálastofnunin hefur ályktað að þar sem ný sýklalyf eru ekki í augsýn þá þurfi að leita víðtækra leiða til að bregðast við auknu sýklalyfjaónæmi.</w:t>
      </w:r>
    </w:p>
    <w:p w14:paraId="096B2609" w14:textId="161F8185" w:rsidR="00044D6E" w:rsidRDefault="00205DAE" w:rsidP="00F31CE8">
      <w:r>
        <w:t>Til að árangur náist í baráttunni við sýklalyfjaónæmi á heimsvísu er mikilvægt að allar þjóðir leggi sín lóð á vogarskálarnar því útbreiðslan virðir ekki landamæri. Sýklalyfjaónæmi dreifist milli landa með mönnum, dýrum, fóðri og matvælum og því ber öllum þjóðum að leggja baráttunni lið með sambærilegum og samhæfðum aðgerðum</w:t>
      </w:r>
      <w:r w:rsidR="00D95E83">
        <w:t>.</w:t>
      </w:r>
    </w:p>
    <w:p w14:paraId="1AFF780C" w14:textId="77777777" w:rsidR="00B36DD3" w:rsidRDefault="00B36DD3" w:rsidP="00B36DD3">
      <w:r w:rsidRPr="001A7B2E">
        <w:t xml:space="preserve">Sýklalyfjaónæmi er </w:t>
      </w:r>
      <w:r>
        <w:t xml:space="preserve">alþjóðleg lýðheilsuógn </w:t>
      </w:r>
      <w:r w:rsidRPr="001A7B2E">
        <w:t xml:space="preserve">og ein stærsta heilbrigðisógn sem heimurinn stendur frammi fyrir í dag. </w:t>
      </w:r>
      <w:r>
        <w:t xml:space="preserve">Víða um heim hafa komið fram </w:t>
      </w:r>
      <w:proofErr w:type="spellStart"/>
      <w:r>
        <w:t>sýklar</w:t>
      </w:r>
      <w:proofErr w:type="spellEnd"/>
      <w:r>
        <w:t xml:space="preserve"> sem fá eða engin sýklalyf vinna á sem hefur alvarlegar afleiðingar fyrir marga sjúklinga. Líkur eru á að útbreiðsla slíkra sýkla fari vaxandi á komandi árum og þar sem ný sýklalyf eru ekki í augsýn er mikilvægt að hefja aðgerðir áður en það verður of seint.</w:t>
      </w:r>
    </w:p>
    <w:p w14:paraId="55AD1EE1" w14:textId="77777777" w:rsidR="00B36DD3" w:rsidRDefault="00B36DD3" w:rsidP="00B36DD3">
      <w:r>
        <w:t xml:space="preserve">Staða sýklalyfjaónæmis á Íslandi er betri en í mörgum löndum en hér eins og annars staðar fer útbreiðslan vaxandi. Í dag þarf oft að meðhöndla einfaldar sýkingar með dýrum sýklalyfjum inni á stofnunum og ónæmir </w:t>
      </w:r>
      <w:proofErr w:type="spellStart"/>
      <w:r>
        <w:t>sýklar</w:t>
      </w:r>
      <w:proofErr w:type="spellEnd"/>
      <w:r>
        <w:t xml:space="preserve"> sem greinast hjá sjúklingum setja starfsemi margra stofnana verulega úr skorðum. Hættan er því raunveruleg að í </w:t>
      </w:r>
      <w:r w:rsidRPr="001A7B2E">
        <w:t xml:space="preserve">náinni framtíð verði </w:t>
      </w:r>
      <w:r>
        <w:t xml:space="preserve">hér </w:t>
      </w:r>
      <w:r w:rsidRPr="001A7B2E">
        <w:t>ekki hægt að meðhöndla einfaldar og alvarlegar sýkingar með sýklalyfjum. Slík</w:t>
      </w:r>
      <w:r>
        <w:t>t</w:t>
      </w:r>
      <w:r w:rsidRPr="001A7B2E">
        <w:t xml:space="preserve"> mun hafa alvarlegar heilsufarslegar og efnahagslegar afleiðingar fyrir okkur hér á Íslandi sem </w:t>
      </w:r>
      <w:r>
        <w:t>annars staðar.</w:t>
      </w:r>
      <w:r w:rsidRPr="001A7B2E">
        <w:t xml:space="preserve"> </w:t>
      </w:r>
      <w:r>
        <w:t>Því er mikilvægt að á Íslandi verði gripið til aðgerða sem viðhalda okkar góðu stöðu hvað sýklalyfjaónæmi varðar.</w:t>
      </w:r>
    </w:p>
    <w:p w14:paraId="59DA239E" w14:textId="52A0B169" w:rsidR="00B36DD3" w:rsidRDefault="00B36DD3" w:rsidP="00B36DD3">
      <w:r>
        <w:t xml:space="preserve">Þverfaglegur starfshópur heilbrigðisráðuneytis, matvælaráðuneytis og umhverfis-, orku- og loftslagsráðuneytis </w:t>
      </w:r>
      <w:r w:rsidR="007726F3">
        <w:t xml:space="preserve">sem </w:t>
      </w:r>
      <w:r>
        <w:t xml:space="preserve">var skipaður í desember 2022 og falið að koma </w:t>
      </w:r>
      <w:r>
        <w:t>með tillögur að aðgerðaáætlun gegn sýklalyfjaónæmi</w:t>
      </w:r>
      <w:r w:rsidR="007726F3">
        <w:t xml:space="preserve"> </w:t>
      </w:r>
      <w:r>
        <w:t>birti tillögur að fimm ára aðgerðaáætlun í janúar 2024</w:t>
      </w:r>
      <w:r w:rsidR="007726F3">
        <w:t>. T</w:t>
      </w:r>
      <w:r>
        <w:t xml:space="preserve">illögurnar </w:t>
      </w:r>
      <w:r w:rsidR="007726F3">
        <w:t xml:space="preserve">voru </w:t>
      </w:r>
      <w:r>
        <w:t>samþykktar og aðgerðaáætlun stjórnvalda birt í júlí 2024</w:t>
      </w:r>
      <w:r w:rsidR="007726F3">
        <w:t xml:space="preserve"> á vef Stjórnarráðsins</w:t>
      </w:r>
      <w:r>
        <w:t>.</w:t>
      </w:r>
    </w:p>
    <w:p w14:paraId="666914B2" w14:textId="0E7784BA" w:rsidR="00D95E83" w:rsidRDefault="00D95E83" w:rsidP="00D40031">
      <w:pPr>
        <w:ind w:firstLine="0"/>
      </w:pPr>
    </w:p>
    <w:p w14:paraId="383F8598" w14:textId="0A60AF72" w:rsidR="007726F3" w:rsidRPr="00F96C08" w:rsidRDefault="007726F3" w:rsidP="007726F3">
      <w:pPr>
        <w:pStyle w:val="Millifyrirsgn1"/>
      </w:pPr>
      <w:r>
        <w:t>2</w:t>
      </w:r>
      <w:r w:rsidRPr="003E329E">
        <w:t xml:space="preserve">. </w:t>
      </w:r>
      <w:r w:rsidR="00437779">
        <w:t>Kostnaðaráætlun</w:t>
      </w:r>
      <w:r>
        <w:t>.</w:t>
      </w:r>
    </w:p>
    <w:p w14:paraId="206642CB" w14:textId="1459738E" w:rsidR="007726F3" w:rsidRPr="00F96C08" w:rsidRDefault="00437779" w:rsidP="007726F3">
      <w:pPr>
        <w:rPr>
          <w:szCs w:val="21"/>
        </w:rPr>
      </w:pPr>
      <w:r>
        <w:t xml:space="preserve">Ábyrgðaaðilar einstakra verkefna aðgerðaáætlunarinnar mátu kostnað hennar og er hann birtur í </w:t>
      </w:r>
      <w:proofErr w:type="spellStart"/>
      <w:r>
        <w:t>neðangreindri</w:t>
      </w:r>
      <w:proofErr w:type="spellEnd"/>
      <w:r>
        <w:t xml:space="preserve"> töflu á verðlagi ársins 2024. </w:t>
      </w:r>
      <w:r w:rsidR="007726F3" w:rsidRPr="00F96C08">
        <w:rPr>
          <w:szCs w:val="21"/>
        </w:rPr>
        <w:t xml:space="preserve">Kostnaði </w:t>
      </w:r>
      <w:r w:rsidR="007726F3">
        <w:rPr>
          <w:szCs w:val="21"/>
        </w:rPr>
        <w:t xml:space="preserve">aðgerða </w:t>
      </w:r>
      <w:r w:rsidR="007726F3" w:rsidRPr="00F96C08">
        <w:rPr>
          <w:szCs w:val="21"/>
        </w:rPr>
        <w:t xml:space="preserve">er skipt </w:t>
      </w:r>
      <w:r w:rsidR="007726F3" w:rsidRPr="00CA1832">
        <w:rPr>
          <w:szCs w:val="21"/>
        </w:rPr>
        <w:t>í grunnkostnað og viðbótarkostnað</w:t>
      </w:r>
      <w:r w:rsidR="007726F3" w:rsidRPr="00F96C08">
        <w:rPr>
          <w:szCs w:val="21"/>
        </w:rPr>
        <w:t xml:space="preserve">. Með grunnkostnaði er átt við það fjármagn sem ábyrgðaraðilar </w:t>
      </w:r>
      <w:r w:rsidR="007726F3">
        <w:rPr>
          <w:szCs w:val="21"/>
        </w:rPr>
        <w:t xml:space="preserve">verja </w:t>
      </w:r>
      <w:r w:rsidR="007726F3" w:rsidRPr="00F96C08">
        <w:rPr>
          <w:szCs w:val="21"/>
        </w:rPr>
        <w:t>nú þegar í tiltekna aðgerð</w:t>
      </w:r>
      <w:r w:rsidR="007726F3">
        <w:rPr>
          <w:szCs w:val="21"/>
        </w:rPr>
        <w:t xml:space="preserve">/verkefni. Með </w:t>
      </w:r>
      <w:r w:rsidR="007726F3" w:rsidRPr="00F96C08">
        <w:rPr>
          <w:szCs w:val="21"/>
        </w:rPr>
        <w:t>viðbótarkostnað</w:t>
      </w:r>
      <w:r w:rsidR="007726F3">
        <w:rPr>
          <w:szCs w:val="21"/>
        </w:rPr>
        <w:t>i</w:t>
      </w:r>
      <w:r w:rsidR="007726F3" w:rsidRPr="00F96C08">
        <w:rPr>
          <w:szCs w:val="21"/>
        </w:rPr>
        <w:t xml:space="preserve"> er </w:t>
      </w:r>
      <w:r w:rsidR="007726F3">
        <w:rPr>
          <w:szCs w:val="21"/>
        </w:rPr>
        <w:t xml:space="preserve">átt við </w:t>
      </w:r>
      <w:r w:rsidR="007726F3" w:rsidRPr="00F96C08">
        <w:rPr>
          <w:szCs w:val="21"/>
        </w:rPr>
        <w:t xml:space="preserve">það fjármagn sem ábyrgðaraðilar telja að </w:t>
      </w:r>
      <w:r w:rsidR="007726F3">
        <w:rPr>
          <w:szCs w:val="21"/>
        </w:rPr>
        <w:t xml:space="preserve">tryggja þurfi með aukafjárveitingum svo unnt sé að hefja </w:t>
      </w:r>
      <w:r w:rsidR="007726F3" w:rsidRPr="00F96C08">
        <w:rPr>
          <w:szCs w:val="21"/>
        </w:rPr>
        <w:t xml:space="preserve">eða ljúka tilteknum aðgerðum á fimm ára tímabili áætlunarinnar. </w:t>
      </w:r>
      <w:r w:rsidR="007726F3" w:rsidRPr="00437779">
        <w:rPr>
          <w:szCs w:val="21"/>
        </w:rPr>
        <w:t>Ábyrgðaraðilar</w:t>
      </w:r>
      <w:r w:rsidR="007726F3" w:rsidRPr="00F96C08">
        <w:rPr>
          <w:szCs w:val="21"/>
        </w:rPr>
        <w:t xml:space="preserve"> þurfa því að sækja um árlegan viðbótarkostnað til sinna ráðuneyta á hefðbundinn hátt en ekki er tekið tillit til verðlagsbreytinga milli ára í kostnaðaráætluninni. Þar sem talsverð óvissa ríkir um kostnað einstakra verkefna </w:t>
      </w:r>
      <w:r w:rsidR="007726F3" w:rsidRPr="00F96C08">
        <w:rPr>
          <w:szCs w:val="21"/>
        </w:rPr>
        <w:lastRenderedPageBreak/>
        <w:t xml:space="preserve">á næstu árum </w:t>
      </w:r>
      <w:r>
        <w:rPr>
          <w:szCs w:val="21"/>
        </w:rPr>
        <w:t xml:space="preserve">er talið </w:t>
      </w:r>
      <w:r w:rsidR="007726F3" w:rsidRPr="00F96C08">
        <w:rPr>
          <w:szCs w:val="21"/>
        </w:rPr>
        <w:t>nauðsynlegt að endurskoða kostnaðaráætlunina a.m.k. árlega. Sú endurskoðun verður ábyrgð starfshóps sem fjallað er um í aðgerð sex.</w:t>
      </w:r>
    </w:p>
    <w:p w14:paraId="52B4B285" w14:textId="79316C4F" w:rsidR="00437779" w:rsidRDefault="00437779" w:rsidP="00437779">
      <w:r>
        <w:t>Eins og fram kemur í eftirfarandi töflu má reikna með að heildarkostnaður aðgerða gegn sýklalyfjaónæmi á fimm ára tímabili sé um 1,8 milljarðar kr. á verðlagi ársins 2024. Af þeirri fjárhæð er reiknað með að 1,2 milljarða kr. þurfi ábyrgðaraðilar að sækja sem viðbótarfjármagn til að framkvæma þau verkefni sem þeim eru ætluð.</w:t>
      </w:r>
    </w:p>
    <w:p w14:paraId="44B7FFBC" w14:textId="77777777" w:rsidR="00D40031" w:rsidRDefault="00D40031" w:rsidP="00D40031">
      <w:r>
        <w:t>Stærstu kostnaðarliðir áætlunarinnar felast í verkefnum sem snúa að því að stuðla að markvissari og skynsamlegri notkun sýklalyfja og verkefnum til að auka ýmis konar vöktun og vísindarannsóknir.</w:t>
      </w:r>
    </w:p>
    <w:p w14:paraId="61DAB174" w14:textId="77777777" w:rsidR="00D40031" w:rsidRDefault="00D40031" w:rsidP="00D40031">
      <w:r>
        <w:t>Þó kostnaður við framkvæmd aðgerðaáætlunarinnar sé umtalsverður má fullyrða að mikil hagkvæmni felist í því að halda útbreiðslu sýklalyfjaónæmra baktería í skefjum með ofangreindum aðgerðum.</w:t>
      </w:r>
    </w:p>
    <w:p w14:paraId="1DD68709" w14:textId="77777777" w:rsidR="00D40031" w:rsidRDefault="00D40031" w:rsidP="00D40031">
      <w:pPr>
        <w:rPr>
          <w:rStyle w:val="Tengill"/>
        </w:rPr>
      </w:pPr>
    </w:p>
    <w:tbl>
      <w:tblPr>
        <w:tblStyle w:val="Hnitanettflu"/>
        <w:tblW w:w="891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5"/>
        <w:gridCol w:w="876"/>
        <w:gridCol w:w="1791"/>
        <w:gridCol w:w="845"/>
        <w:gridCol w:w="845"/>
        <w:gridCol w:w="845"/>
        <w:gridCol w:w="845"/>
        <w:gridCol w:w="846"/>
        <w:gridCol w:w="1040"/>
      </w:tblGrid>
      <w:tr w:rsidR="00D40031" w14:paraId="7EEA7ADF" w14:textId="77777777" w:rsidTr="00847C3D">
        <w:tc>
          <w:tcPr>
            <w:tcW w:w="1861" w:type="dxa"/>
            <w:gridSpan w:val="2"/>
            <w:tcBorders>
              <w:top w:val="nil"/>
              <w:left w:val="nil"/>
              <w:bottom w:val="single" w:sz="4" w:space="0" w:color="E7E6E6" w:themeColor="background2"/>
            </w:tcBorders>
            <w:tcMar>
              <w:top w:w="57" w:type="dxa"/>
              <w:bottom w:w="57" w:type="dxa"/>
            </w:tcMar>
          </w:tcPr>
          <w:p w14:paraId="4A071A38" w14:textId="77777777" w:rsidR="00D40031" w:rsidRPr="004B744C" w:rsidRDefault="00D40031" w:rsidP="00847C3D">
            <w:pPr>
              <w:ind w:firstLine="0"/>
              <w:jc w:val="left"/>
              <w:rPr>
                <w:rStyle w:val="Tengill"/>
                <w:b/>
                <w:bCs/>
              </w:rPr>
            </w:pPr>
            <w:r w:rsidRPr="004B744C">
              <w:rPr>
                <w:rStyle w:val="Tengill"/>
                <w:b/>
                <w:bCs/>
              </w:rPr>
              <w:t>Samantekt á kostnaði aðgerðaáætlunar</w:t>
            </w:r>
            <w:r>
              <w:rPr>
                <w:rStyle w:val="Tengill"/>
                <w:b/>
                <w:bCs/>
              </w:rPr>
              <w:t xml:space="preserve"> gegn sýklalyfjaónæmi</w:t>
            </w:r>
          </w:p>
        </w:tc>
        <w:tc>
          <w:tcPr>
            <w:tcW w:w="1791" w:type="dxa"/>
            <w:tcBorders>
              <w:top w:val="nil"/>
              <w:bottom w:val="single" w:sz="4" w:space="0" w:color="E7E6E6" w:themeColor="background2"/>
            </w:tcBorders>
          </w:tcPr>
          <w:p w14:paraId="0D85A7CB" w14:textId="77777777" w:rsidR="00D40031" w:rsidRPr="004B744C" w:rsidRDefault="00D40031" w:rsidP="00847C3D">
            <w:pPr>
              <w:ind w:firstLine="0"/>
              <w:rPr>
                <w:rStyle w:val="Tengill"/>
                <w:b/>
                <w:bCs/>
              </w:rPr>
            </w:pPr>
          </w:p>
        </w:tc>
        <w:tc>
          <w:tcPr>
            <w:tcW w:w="845" w:type="dxa"/>
            <w:tcBorders>
              <w:top w:val="nil"/>
              <w:bottom w:val="single" w:sz="4" w:space="0" w:color="E7E6E6" w:themeColor="background2"/>
            </w:tcBorders>
            <w:tcMar>
              <w:top w:w="57" w:type="dxa"/>
              <w:bottom w:w="57" w:type="dxa"/>
            </w:tcMar>
            <w:vAlign w:val="center"/>
          </w:tcPr>
          <w:p w14:paraId="5B82DB3B" w14:textId="77777777" w:rsidR="00D40031" w:rsidRPr="004B744C" w:rsidRDefault="00D40031" w:rsidP="00847C3D">
            <w:pPr>
              <w:ind w:firstLine="0"/>
              <w:rPr>
                <w:rStyle w:val="Tengill"/>
                <w:b/>
                <w:bCs/>
              </w:rPr>
            </w:pPr>
            <w:r w:rsidRPr="004B744C">
              <w:rPr>
                <w:rStyle w:val="Tengill"/>
                <w:b/>
                <w:bCs/>
              </w:rPr>
              <w:t>2025</w:t>
            </w:r>
          </w:p>
        </w:tc>
        <w:tc>
          <w:tcPr>
            <w:tcW w:w="845" w:type="dxa"/>
            <w:tcBorders>
              <w:top w:val="nil"/>
              <w:bottom w:val="single" w:sz="4" w:space="0" w:color="E7E6E6" w:themeColor="background2"/>
            </w:tcBorders>
            <w:tcMar>
              <w:top w:w="57" w:type="dxa"/>
              <w:bottom w:w="57" w:type="dxa"/>
            </w:tcMar>
            <w:vAlign w:val="center"/>
          </w:tcPr>
          <w:p w14:paraId="46214106" w14:textId="77777777" w:rsidR="00D40031" w:rsidRPr="004B744C" w:rsidRDefault="00D40031" w:rsidP="00847C3D">
            <w:pPr>
              <w:ind w:firstLine="0"/>
              <w:rPr>
                <w:rStyle w:val="Tengill"/>
                <w:b/>
                <w:bCs/>
              </w:rPr>
            </w:pPr>
            <w:r w:rsidRPr="004B744C">
              <w:rPr>
                <w:rStyle w:val="Tengill"/>
                <w:b/>
                <w:bCs/>
              </w:rPr>
              <w:t>2026</w:t>
            </w:r>
          </w:p>
        </w:tc>
        <w:tc>
          <w:tcPr>
            <w:tcW w:w="845" w:type="dxa"/>
            <w:tcBorders>
              <w:top w:val="nil"/>
              <w:bottom w:val="single" w:sz="4" w:space="0" w:color="E7E6E6" w:themeColor="background2"/>
            </w:tcBorders>
            <w:tcMar>
              <w:top w:w="57" w:type="dxa"/>
              <w:bottom w:w="57" w:type="dxa"/>
            </w:tcMar>
            <w:vAlign w:val="center"/>
          </w:tcPr>
          <w:p w14:paraId="04C84DD0" w14:textId="77777777" w:rsidR="00D40031" w:rsidRPr="004B744C" w:rsidRDefault="00D40031" w:rsidP="00847C3D">
            <w:pPr>
              <w:ind w:firstLine="0"/>
              <w:rPr>
                <w:rStyle w:val="Tengill"/>
                <w:b/>
                <w:bCs/>
              </w:rPr>
            </w:pPr>
            <w:r w:rsidRPr="004B744C">
              <w:rPr>
                <w:rStyle w:val="Tengill"/>
                <w:b/>
                <w:bCs/>
              </w:rPr>
              <w:t>2027</w:t>
            </w:r>
          </w:p>
        </w:tc>
        <w:tc>
          <w:tcPr>
            <w:tcW w:w="845" w:type="dxa"/>
            <w:tcBorders>
              <w:top w:val="nil"/>
              <w:bottom w:val="single" w:sz="4" w:space="0" w:color="E7E6E6" w:themeColor="background2"/>
            </w:tcBorders>
            <w:tcMar>
              <w:top w:w="57" w:type="dxa"/>
              <w:bottom w:w="57" w:type="dxa"/>
            </w:tcMar>
            <w:vAlign w:val="center"/>
          </w:tcPr>
          <w:p w14:paraId="135DD4BF" w14:textId="77777777" w:rsidR="00D40031" w:rsidRPr="004B744C" w:rsidRDefault="00D40031" w:rsidP="00847C3D">
            <w:pPr>
              <w:ind w:firstLine="0"/>
              <w:rPr>
                <w:rStyle w:val="Tengill"/>
                <w:b/>
                <w:bCs/>
              </w:rPr>
            </w:pPr>
            <w:r w:rsidRPr="004B744C">
              <w:rPr>
                <w:rStyle w:val="Tengill"/>
                <w:b/>
                <w:bCs/>
              </w:rPr>
              <w:t>2028</w:t>
            </w:r>
          </w:p>
        </w:tc>
        <w:tc>
          <w:tcPr>
            <w:tcW w:w="846" w:type="dxa"/>
            <w:tcBorders>
              <w:top w:val="nil"/>
              <w:bottom w:val="single" w:sz="4" w:space="0" w:color="E7E6E6" w:themeColor="background2"/>
            </w:tcBorders>
            <w:tcMar>
              <w:top w:w="57" w:type="dxa"/>
              <w:bottom w:w="57" w:type="dxa"/>
            </w:tcMar>
            <w:vAlign w:val="center"/>
          </w:tcPr>
          <w:p w14:paraId="11B74F00" w14:textId="77777777" w:rsidR="00D40031" w:rsidRPr="004B744C" w:rsidRDefault="00D40031" w:rsidP="00847C3D">
            <w:pPr>
              <w:ind w:firstLine="0"/>
              <w:rPr>
                <w:rStyle w:val="Tengill"/>
                <w:b/>
                <w:bCs/>
              </w:rPr>
            </w:pPr>
            <w:r w:rsidRPr="004B744C">
              <w:rPr>
                <w:rStyle w:val="Tengill"/>
                <w:b/>
                <w:bCs/>
              </w:rPr>
              <w:t>2029</w:t>
            </w:r>
          </w:p>
        </w:tc>
        <w:tc>
          <w:tcPr>
            <w:tcW w:w="1040" w:type="dxa"/>
            <w:tcBorders>
              <w:top w:val="nil"/>
              <w:bottom w:val="single" w:sz="4" w:space="0" w:color="E7E6E6" w:themeColor="background2"/>
              <w:right w:val="nil"/>
            </w:tcBorders>
            <w:tcMar>
              <w:top w:w="57" w:type="dxa"/>
              <w:bottom w:w="57" w:type="dxa"/>
            </w:tcMar>
            <w:vAlign w:val="center"/>
          </w:tcPr>
          <w:p w14:paraId="405E5B89" w14:textId="77777777" w:rsidR="00D40031" w:rsidRPr="004B744C" w:rsidRDefault="00D40031" w:rsidP="00847C3D">
            <w:pPr>
              <w:ind w:firstLine="0"/>
              <w:rPr>
                <w:rStyle w:val="Tengill"/>
                <w:b/>
                <w:bCs/>
              </w:rPr>
            </w:pPr>
            <w:r w:rsidRPr="004B744C">
              <w:rPr>
                <w:rStyle w:val="Tengill"/>
                <w:b/>
                <w:bCs/>
              </w:rPr>
              <w:t>Samtals 2025</w:t>
            </w:r>
            <w:r>
              <w:rPr>
                <w:rStyle w:val="Tengill"/>
                <w:b/>
                <w:bCs/>
              </w:rPr>
              <w:t>–</w:t>
            </w:r>
            <w:r w:rsidRPr="004B744C">
              <w:rPr>
                <w:rStyle w:val="Tengill"/>
                <w:b/>
                <w:bCs/>
              </w:rPr>
              <w:t>2029</w:t>
            </w:r>
          </w:p>
        </w:tc>
      </w:tr>
      <w:tr w:rsidR="00D40031" w14:paraId="77DF8348" w14:textId="77777777" w:rsidTr="00847C3D">
        <w:tc>
          <w:tcPr>
            <w:tcW w:w="1861" w:type="dxa"/>
            <w:gridSpan w:val="2"/>
            <w:tcBorders>
              <w:left w:val="nil"/>
              <w:bottom w:val="single" w:sz="4" w:space="0" w:color="E7E6E6" w:themeColor="background2"/>
            </w:tcBorders>
            <w:tcMar>
              <w:top w:w="57" w:type="dxa"/>
              <w:bottom w:w="57" w:type="dxa"/>
            </w:tcMar>
          </w:tcPr>
          <w:p w14:paraId="0478B0A1" w14:textId="422591A8" w:rsidR="00D40031" w:rsidRDefault="00D40031" w:rsidP="00847C3D">
            <w:pPr>
              <w:pStyle w:val="Mlsgreinlista"/>
              <w:ind w:left="0" w:firstLine="0"/>
              <w:jc w:val="left"/>
              <w:rPr>
                <w:rStyle w:val="Tengill"/>
              </w:rPr>
            </w:pPr>
            <w:r>
              <w:rPr>
                <w:rStyle w:val="Tengill"/>
              </w:rPr>
              <w:t>1. Stuðla að markvissri og skynsamlegri notkun sýklalyfja manna og dýra</w:t>
            </w:r>
          </w:p>
        </w:tc>
        <w:tc>
          <w:tcPr>
            <w:tcW w:w="1791" w:type="dxa"/>
            <w:tcBorders>
              <w:bottom w:val="single" w:sz="4" w:space="0" w:color="E7E6E6" w:themeColor="background2"/>
            </w:tcBorders>
          </w:tcPr>
          <w:p w14:paraId="251CCE75" w14:textId="77777777" w:rsidR="00D40031" w:rsidRDefault="00D40031" w:rsidP="00847C3D">
            <w:pPr>
              <w:ind w:firstLine="0"/>
              <w:rPr>
                <w:rStyle w:val="Tengill"/>
              </w:rPr>
            </w:pPr>
          </w:p>
          <w:p w14:paraId="5D291A4C" w14:textId="77777777" w:rsidR="00D40031" w:rsidRDefault="00D40031" w:rsidP="00847C3D">
            <w:pPr>
              <w:ind w:firstLine="0"/>
              <w:rPr>
                <w:rStyle w:val="Tengill"/>
              </w:rPr>
            </w:pPr>
            <w:r>
              <w:rPr>
                <w:rStyle w:val="Tengill"/>
              </w:rPr>
              <w:t>Grunnkostnaður</w:t>
            </w:r>
          </w:p>
          <w:p w14:paraId="0CE2AD81" w14:textId="77777777" w:rsidR="00D40031" w:rsidRDefault="00D40031" w:rsidP="00847C3D">
            <w:pPr>
              <w:ind w:firstLine="0"/>
              <w:rPr>
                <w:rStyle w:val="Tengill"/>
              </w:rPr>
            </w:pPr>
          </w:p>
          <w:p w14:paraId="6F26E3CF" w14:textId="77777777" w:rsidR="00D40031" w:rsidRDefault="00D40031" w:rsidP="00847C3D">
            <w:pPr>
              <w:ind w:firstLine="0"/>
              <w:rPr>
                <w:rStyle w:val="Tengill"/>
              </w:rPr>
            </w:pPr>
            <w:r>
              <w:rPr>
                <w:rStyle w:val="Tengill"/>
              </w:rPr>
              <w:t>Viðbótarkostnaður</w:t>
            </w:r>
          </w:p>
          <w:p w14:paraId="41FE7403" w14:textId="77777777" w:rsidR="00D40031" w:rsidRDefault="00D40031" w:rsidP="00847C3D">
            <w:pPr>
              <w:ind w:firstLine="0"/>
              <w:rPr>
                <w:rStyle w:val="Tengill"/>
              </w:rPr>
            </w:pPr>
          </w:p>
          <w:p w14:paraId="59B55BA6" w14:textId="77777777" w:rsidR="00D40031" w:rsidRDefault="00D40031" w:rsidP="00847C3D">
            <w:pPr>
              <w:ind w:firstLine="0"/>
              <w:rPr>
                <w:rStyle w:val="Tengill"/>
              </w:rPr>
            </w:pPr>
            <w:r>
              <w:rPr>
                <w:rStyle w:val="Tengill"/>
              </w:rPr>
              <w:t>Alls</w:t>
            </w:r>
          </w:p>
        </w:tc>
        <w:tc>
          <w:tcPr>
            <w:tcW w:w="845" w:type="dxa"/>
            <w:tcBorders>
              <w:bottom w:val="single" w:sz="4" w:space="0" w:color="E7E6E6" w:themeColor="background2"/>
            </w:tcBorders>
            <w:tcMar>
              <w:top w:w="57" w:type="dxa"/>
              <w:bottom w:w="57" w:type="dxa"/>
            </w:tcMar>
          </w:tcPr>
          <w:p w14:paraId="1D89D0DD" w14:textId="77777777" w:rsidR="00D40031" w:rsidRDefault="00D40031" w:rsidP="00847C3D">
            <w:pPr>
              <w:ind w:firstLine="0"/>
              <w:jc w:val="right"/>
              <w:rPr>
                <w:rStyle w:val="Tengill"/>
              </w:rPr>
            </w:pPr>
          </w:p>
          <w:p w14:paraId="4B1E74CB" w14:textId="77777777" w:rsidR="00D40031" w:rsidRDefault="00D40031" w:rsidP="00847C3D">
            <w:pPr>
              <w:ind w:firstLine="0"/>
              <w:jc w:val="right"/>
              <w:rPr>
                <w:rStyle w:val="Tengill"/>
              </w:rPr>
            </w:pPr>
            <w:r>
              <w:rPr>
                <w:rStyle w:val="Tengill"/>
              </w:rPr>
              <w:t xml:space="preserve"> 30,6</w:t>
            </w:r>
          </w:p>
          <w:p w14:paraId="6A7366A9" w14:textId="77777777" w:rsidR="00D40031" w:rsidRDefault="00D40031" w:rsidP="00847C3D">
            <w:pPr>
              <w:ind w:firstLine="0"/>
              <w:jc w:val="right"/>
              <w:rPr>
                <w:rStyle w:val="Tengill"/>
              </w:rPr>
            </w:pPr>
          </w:p>
          <w:p w14:paraId="68365635" w14:textId="77777777" w:rsidR="00D40031" w:rsidRDefault="00D40031" w:rsidP="00847C3D">
            <w:pPr>
              <w:ind w:firstLine="0"/>
              <w:jc w:val="right"/>
              <w:rPr>
                <w:rStyle w:val="Tengill"/>
              </w:rPr>
            </w:pPr>
            <w:r>
              <w:rPr>
                <w:rStyle w:val="Tengill"/>
              </w:rPr>
              <w:t>125,5</w:t>
            </w:r>
          </w:p>
          <w:p w14:paraId="07960FEA" w14:textId="77777777" w:rsidR="00D40031" w:rsidRDefault="00D40031" w:rsidP="00847C3D">
            <w:pPr>
              <w:ind w:firstLine="0"/>
              <w:jc w:val="right"/>
              <w:rPr>
                <w:rStyle w:val="Tengill"/>
              </w:rPr>
            </w:pPr>
          </w:p>
          <w:p w14:paraId="22ED43A0" w14:textId="77777777" w:rsidR="00D40031" w:rsidRDefault="00D40031" w:rsidP="00847C3D">
            <w:pPr>
              <w:ind w:firstLine="0"/>
              <w:jc w:val="right"/>
              <w:rPr>
                <w:rStyle w:val="Tengill"/>
              </w:rPr>
            </w:pPr>
            <w:r>
              <w:rPr>
                <w:rStyle w:val="Tengill"/>
              </w:rPr>
              <w:t>156,1</w:t>
            </w:r>
          </w:p>
        </w:tc>
        <w:tc>
          <w:tcPr>
            <w:tcW w:w="845" w:type="dxa"/>
            <w:tcBorders>
              <w:bottom w:val="single" w:sz="4" w:space="0" w:color="E7E6E6" w:themeColor="background2"/>
            </w:tcBorders>
            <w:tcMar>
              <w:top w:w="57" w:type="dxa"/>
              <w:bottom w:w="57" w:type="dxa"/>
            </w:tcMar>
          </w:tcPr>
          <w:p w14:paraId="03480CC6" w14:textId="77777777" w:rsidR="00D40031" w:rsidRDefault="00D40031" w:rsidP="00847C3D">
            <w:pPr>
              <w:ind w:firstLine="0"/>
              <w:jc w:val="right"/>
              <w:rPr>
                <w:rStyle w:val="Tengill"/>
              </w:rPr>
            </w:pPr>
          </w:p>
          <w:p w14:paraId="7E1EAB84" w14:textId="77777777" w:rsidR="00D40031" w:rsidRDefault="00D40031" w:rsidP="00847C3D">
            <w:pPr>
              <w:ind w:firstLine="0"/>
              <w:jc w:val="right"/>
              <w:rPr>
                <w:rStyle w:val="Tengill"/>
              </w:rPr>
            </w:pPr>
            <w:r>
              <w:rPr>
                <w:rStyle w:val="Tengill"/>
              </w:rPr>
              <w:t xml:space="preserve"> 27,6</w:t>
            </w:r>
          </w:p>
          <w:p w14:paraId="79A6F1DF" w14:textId="77777777" w:rsidR="00D40031" w:rsidRDefault="00D40031" w:rsidP="00847C3D">
            <w:pPr>
              <w:ind w:firstLine="0"/>
              <w:jc w:val="right"/>
              <w:rPr>
                <w:rStyle w:val="Tengill"/>
              </w:rPr>
            </w:pPr>
          </w:p>
          <w:p w14:paraId="1499DFCA" w14:textId="77777777" w:rsidR="00D40031" w:rsidRDefault="00D40031" w:rsidP="00847C3D">
            <w:pPr>
              <w:ind w:firstLine="0"/>
              <w:jc w:val="right"/>
              <w:rPr>
                <w:rStyle w:val="Tengill"/>
              </w:rPr>
            </w:pPr>
            <w:r>
              <w:rPr>
                <w:rStyle w:val="Tengill"/>
              </w:rPr>
              <w:t>125,5</w:t>
            </w:r>
          </w:p>
          <w:p w14:paraId="6E2B11E3" w14:textId="77777777" w:rsidR="00D40031" w:rsidRDefault="00D40031" w:rsidP="00847C3D">
            <w:pPr>
              <w:ind w:firstLine="0"/>
              <w:jc w:val="right"/>
              <w:rPr>
                <w:rStyle w:val="Tengill"/>
              </w:rPr>
            </w:pPr>
          </w:p>
          <w:p w14:paraId="055A1293" w14:textId="77777777" w:rsidR="00D40031" w:rsidRDefault="00D40031" w:rsidP="00847C3D">
            <w:pPr>
              <w:ind w:firstLine="0"/>
              <w:jc w:val="right"/>
              <w:rPr>
                <w:rStyle w:val="Tengill"/>
              </w:rPr>
            </w:pPr>
            <w:r>
              <w:rPr>
                <w:rStyle w:val="Tengill"/>
              </w:rPr>
              <w:t>153,1</w:t>
            </w:r>
          </w:p>
        </w:tc>
        <w:tc>
          <w:tcPr>
            <w:tcW w:w="845" w:type="dxa"/>
            <w:tcBorders>
              <w:bottom w:val="single" w:sz="4" w:space="0" w:color="E7E6E6" w:themeColor="background2"/>
            </w:tcBorders>
            <w:tcMar>
              <w:top w:w="57" w:type="dxa"/>
              <w:bottom w:w="57" w:type="dxa"/>
            </w:tcMar>
          </w:tcPr>
          <w:p w14:paraId="6B875476" w14:textId="77777777" w:rsidR="00D40031" w:rsidRDefault="00D40031" w:rsidP="00847C3D">
            <w:pPr>
              <w:ind w:firstLine="0"/>
              <w:jc w:val="right"/>
              <w:rPr>
                <w:rStyle w:val="Tengill"/>
              </w:rPr>
            </w:pPr>
          </w:p>
          <w:p w14:paraId="41C02283" w14:textId="77777777" w:rsidR="00D40031" w:rsidRDefault="00D40031" w:rsidP="00847C3D">
            <w:pPr>
              <w:ind w:firstLine="0"/>
              <w:jc w:val="right"/>
              <w:rPr>
                <w:rStyle w:val="Tengill"/>
              </w:rPr>
            </w:pPr>
            <w:r>
              <w:rPr>
                <w:rStyle w:val="Tengill"/>
              </w:rPr>
              <w:t xml:space="preserve"> 27,6</w:t>
            </w:r>
          </w:p>
          <w:p w14:paraId="02F8C7F2" w14:textId="77777777" w:rsidR="00D40031" w:rsidRDefault="00D40031" w:rsidP="00847C3D">
            <w:pPr>
              <w:ind w:firstLine="0"/>
              <w:jc w:val="right"/>
              <w:rPr>
                <w:rStyle w:val="Tengill"/>
              </w:rPr>
            </w:pPr>
          </w:p>
          <w:p w14:paraId="1D1B45EA" w14:textId="77777777" w:rsidR="00D40031" w:rsidRDefault="00D40031" w:rsidP="00847C3D">
            <w:pPr>
              <w:ind w:firstLine="0"/>
              <w:jc w:val="right"/>
              <w:rPr>
                <w:rStyle w:val="Tengill"/>
              </w:rPr>
            </w:pPr>
            <w:r>
              <w:rPr>
                <w:rStyle w:val="Tengill"/>
              </w:rPr>
              <w:t xml:space="preserve"> 77,5</w:t>
            </w:r>
          </w:p>
          <w:p w14:paraId="3A55E1ED" w14:textId="77777777" w:rsidR="00D40031" w:rsidRDefault="00D40031" w:rsidP="00847C3D">
            <w:pPr>
              <w:ind w:firstLine="0"/>
              <w:jc w:val="right"/>
              <w:rPr>
                <w:rStyle w:val="Tengill"/>
              </w:rPr>
            </w:pPr>
          </w:p>
          <w:p w14:paraId="0BC90942" w14:textId="77777777" w:rsidR="00D40031" w:rsidRDefault="00D40031" w:rsidP="00847C3D">
            <w:pPr>
              <w:ind w:firstLine="0"/>
              <w:jc w:val="right"/>
              <w:rPr>
                <w:rStyle w:val="Tengill"/>
              </w:rPr>
            </w:pPr>
            <w:r>
              <w:rPr>
                <w:rStyle w:val="Tengill"/>
              </w:rPr>
              <w:t>105,1</w:t>
            </w:r>
          </w:p>
        </w:tc>
        <w:tc>
          <w:tcPr>
            <w:tcW w:w="845" w:type="dxa"/>
            <w:tcBorders>
              <w:bottom w:val="single" w:sz="4" w:space="0" w:color="E7E6E6" w:themeColor="background2"/>
            </w:tcBorders>
            <w:tcMar>
              <w:top w:w="57" w:type="dxa"/>
              <w:bottom w:w="57" w:type="dxa"/>
            </w:tcMar>
          </w:tcPr>
          <w:p w14:paraId="3A74D962" w14:textId="77777777" w:rsidR="00D40031" w:rsidRDefault="00D40031" w:rsidP="00847C3D">
            <w:pPr>
              <w:ind w:firstLine="0"/>
              <w:jc w:val="right"/>
              <w:rPr>
                <w:rStyle w:val="Tengill"/>
              </w:rPr>
            </w:pPr>
          </w:p>
          <w:p w14:paraId="2FC4451E" w14:textId="77777777" w:rsidR="00D40031" w:rsidRDefault="00D40031" w:rsidP="00847C3D">
            <w:pPr>
              <w:ind w:firstLine="0"/>
              <w:jc w:val="right"/>
              <w:rPr>
                <w:rStyle w:val="Tengill"/>
              </w:rPr>
            </w:pPr>
            <w:r>
              <w:rPr>
                <w:rStyle w:val="Tengill"/>
              </w:rPr>
              <w:t>27,6</w:t>
            </w:r>
          </w:p>
          <w:p w14:paraId="179C5270" w14:textId="77777777" w:rsidR="00D40031" w:rsidRDefault="00D40031" w:rsidP="00847C3D">
            <w:pPr>
              <w:ind w:firstLine="0"/>
              <w:jc w:val="right"/>
              <w:rPr>
                <w:rStyle w:val="Tengill"/>
              </w:rPr>
            </w:pPr>
          </w:p>
          <w:p w14:paraId="6313518D" w14:textId="77777777" w:rsidR="00D40031" w:rsidRDefault="00D40031" w:rsidP="00847C3D">
            <w:pPr>
              <w:ind w:firstLine="0"/>
              <w:jc w:val="right"/>
              <w:rPr>
                <w:rStyle w:val="Tengill"/>
              </w:rPr>
            </w:pPr>
            <w:r>
              <w:rPr>
                <w:rStyle w:val="Tengill"/>
              </w:rPr>
              <w:t>74,5</w:t>
            </w:r>
          </w:p>
          <w:p w14:paraId="772C7745" w14:textId="77777777" w:rsidR="00D40031" w:rsidRDefault="00D40031" w:rsidP="00847C3D">
            <w:pPr>
              <w:ind w:firstLine="0"/>
              <w:jc w:val="right"/>
              <w:rPr>
                <w:rStyle w:val="Tengill"/>
              </w:rPr>
            </w:pPr>
          </w:p>
          <w:p w14:paraId="7FE8853A" w14:textId="77777777" w:rsidR="00D40031" w:rsidRDefault="00D40031" w:rsidP="00847C3D">
            <w:pPr>
              <w:ind w:firstLine="0"/>
              <w:jc w:val="right"/>
              <w:rPr>
                <w:rStyle w:val="Tengill"/>
              </w:rPr>
            </w:pPr>
            <w:r>
              <w:rPr>
                <w:rStyle w:val="Tengill"/>
              </w:rPr>
              <w:t>102,1</w:t>
            </w:r>
          </w:p>
        </w:tc>
        <w:tc>
          <w:tcPr>
            <w:tcW w:w="846" w:type="dxa"/>
            <w:tcBorders>
              <w:bottom w:val="single" w:sz="4" w:space="0" w:color="E7E6E6" w:themeColor="background2"/>
            </w:tcBorders>
            <w:tcMar>
              <w:top w:w="57" w:type="dxa"/>
              <w:bottom w:w="57" w:type="dxa"/>
            </w:tcMar>
          </w:tcPr>
          <w:p w14:paraId="164C0952" w14:textId="77777777" w:rsidR="00D40031" w:rsidRDefault="00D40031" w:rsidP="00847C3D">
            <w:pPr>
              <w:ind w:firstLine="0"/>
              <w:jc w:val="right"/>
              <w:rPr>
                <w:rStyle w:val="Tengill"/>
              </w:rPr>
            </w:pPr>
          </w:p>
          <w:p w14:paraId="7E0E3D04" w14:textId="77777777" w:rsidR="00D40031" w:rsidRDefault="00D40031" w:rsidP="00847C3D">
            <w:pPr>
              <w:ind w:firstLine="0"/>
              <w:jc w:val="right"/>
              <w:rPr>
                <w:rStyle w:val="Tengill"/>
              </w:rPr>
            </w:pPr>
            <w:r>
              <w:rPr>
                <w:rStyle w:val="Tengill"/>
              </w:rPr>
              <w:t>27,6</w:t>
            </w:r>
          </w:p>
          <w:p w14:paraId="0347C56F" w14:textId="77777777" w:rsidR="00D40031" w:rsidRDefault="00D40031" w:rsidP="00847C3D">
            <w:pPr>
              <w:ind w:firstLine="0"/>
              <w:jc w:val="right"/>
              <w:rPr>
                <w:rStyle w:val="Tengill"/>
              </w:rPr>
            </w:pPr>
          </w:p>
          <w:p w14:paraId="736DD3EA" w14:textId="77777777" w:rsidR="00D40031" w:rsidRDefault="00D40031" w:rsidP="00847C3D">
            <w:pPr>
              <w:ind w:firstLine="0"/>
              <w:jc w:val="right"/>
              <w:rPr>
                <w:rStyle w:val="Tengill"/>
              </w:rPr>
            </w:pPr>
            <w:r>
              <w:rPr>
                <w:rStyle w:val="Tengill"/>
              </w:rPr>
              <w:t>62,5</w:t>
            </w:r>
          </w:p>
          <w:p w14:paraId="5767B8BC" w14:textId="77777777" w:rsidR="00D40031" w:rsidRDefault="00D40031" w:rsidP="00847C3D">
            <w:pPr>
              <w:ind w:firstLine="0"/>
              <w:jc w:val="right"/>
              <w:rPr>
                <w:rStyle w:val="Tengill"/>
              </w:rPr>
            </w:pPr>
          </w:p>
          <w:p w14:paraId="4126F776" w14:textId="77777777" w:rsidR="00D40031" w:rsidRDefault="00D40031" w:rsidP="00847C3D">
            <w:pPr>
              <w:ind w:firstLine="0"/>
              <w:jc w:val="right"/>
              <w:rPr>
                <w:rStyle w:val="Tengill"/>
              </w:rPr>
            </w:pPr>
            <w:r>
              <w:rPr>
                <w:rStyle w:val="Tengill"/>
              </w:rPr>
              <w:t>90,1</w:t>
            </w:r>
          </w:p>
        </w:tc>
        <w:tc>
          <w:tcPr>
            <w:tcW w:w="1040" w:type="dxa"/>
            <w:tcBorders>
              <w:bottom w:val="single" w:sz="4" w:space="0" w:color="E7E6E6" w:themeColor="background2"/>
              <w:right w:val="nil"/>
            </w:tcBorders>
            <w:tcMar>
              <w:top w:w="57" w:type="dxa"/>
              <w:bottom w:w="57" w:type="dxa"/>
            </w:tcMar>
          </w:tcPr>
          <w:p w14:paraId="0EF04AAE" w14:textId="77777777" w:rsidR="00D40031" w:rsidRDefault="00D40031" w:rsidP="00847C3D">
            <w:pPr>
              <w:ind w:firstLine="0"/>
              <w:jc w:val="right"/>
              <w:rPr>
                <w:rStyle w:val="Tengill"/>
              </w:rPr>
            </w:pPr>
          </w:p>
          <w:p w14:paraId="336D9C66" w14:textId="77777777" w:rsidR="00D40031" w:rsidRDefault="00D40031" w:rsidP="00847C3D">
            <w:pPr>
              <w:ind w:firstLine="0"/>
              <w:jc w:val="right"/>
              <w:rPr>
                <w:rStyle w:val="Tengill"/>
              </w:rPr>
            </w:pPr>
            <w:r>
              <w:rPr>
                <w:rStyle w:val="Tengill"/>
              </w:rPr>
              <w:t>141,0</w:t>
            </w:r>
          </w:p>
          <w:p w14:paraId="0F15CED2" w14:textId="77777777" w:rsidR="00D40031" w:rsidRDefault="00D40031" w:rsidP="00847C3D">
            <w:pPr>
              <w:ind w:firstLine="0"/>
              <w:jc w:val="right"/>
              <w:rPr>
                <w:rStyle w:val="Tengill"/>
              </w:rPr>
            </w:pPr>
          </w:p>
          <w:p w14:paraId="52AC18FE" w14:textId="77777777" w:rsidR="00D40031" w:rsidRDefault="00D40031" w:rsidP="00847C3D">
            <w:pPr>
              <w:ind w:firstLine="0"/>
              <w:jc w:val="right"/>
              <w:rPr>
                <w:rStyle w:val="Tengill"/>
              </w:rPr>
            </w:pPr>
            <w:r>
              <w:rPr>
                <w:rStyle w:val="Tengill"/>
              </w:rPr>
              <w:t>465,5</w:t>
            </w:r>
          </w:p>
          <w:p w14:paraId="2F47A5C9" w14:textId="77777777" w:rsidR="00D40031" w:rsidRDefault="00D40031" w:rsidP="00847C3D">
            <w:pPr>
              <w:ind w:firstLine="0"/>
              <w:jc w:val="right"/>
              <w:rPr>
                <w:rStyle w:val="Tengill"/>
              </w:rPr>
            </w:pPr>
          </w:p>
          <w:p w14:paraId="6AAFDDDE" w14:textId="77777777" w:rsidR="00D40031" w:rsidRDefault="00D40031" w:rsidP="00847C3D">
            <w:pPr>
              <w:ind w:firstLine="0"/>
              <w:jc w:val="right"/>
              <w:rPr>
                <w:rStyle w:val="Tengill"/>
              </w:rPr>
            </w:pPr>
            <w:r>
              <w:rPr>
                <w:rStyle w:val="Tengill"/>
              </w:rPr>
              <w:t>606,5</w:t>
            </w:r>
          </w:p>
        </w:tc>
      </w:tr>
      <w:tr w:rsidR="00D40031" w14:paraId="305DB651" w14:textId="77777777" w:rsidTr="00847C3D">
        <w:tc>
          <w:tcPr>
            <w:tcW w:w="1861" w:type="dxa"/>
            <w:gridSpan w:val="2"/>
            <w:tcBorders>
              <w:left w:val="nil"/>
            </w:tcBorders>
            <w:tcMar>
              <w:top w:w="57" w:type="dxa"/>
              <w:bottom w:w="57" w:type="dxa"/>
            </w:tcMar>
          </w:tcPr>
          <w:p w14:paraId="54BC681A" w14:textId="77777777" w:rsidR="00D40031" w:rsidRDefault="00D40031" w:rsidP="00847C3D">
            <w:pPr>
              <w:ind w:firstLine="0"/>
              <w:jc w:val="left"/>
              <w:rPr>
                <w:rStyle w:val="Tengill"/>
              </w:rPr>
            </w:pPr>
            <w:bookmarkStart w:id="16" w:name="_Hlk177320618"/>
            <w:r w:rsidRPr="004B744C">
              <w:rPr>
                <w:rStyle w:val="Tengill"/>
              </w:rPr>
              <w:t>2.</w:t>
            </w:r>
            <w:r>
              <w:rPr>
                <w:rStyle w:val="Tengill"/>
              </w:rPr>
              <w:t xml:space="preserve"> Takmarka útbreiðslu sýklalyfjaónæmis með upplýsingagjöf, fræðslu og forvörnum</w:t>
            </w:r>
          </w:p>
        </w:tc>
        <w:tc>
          <w:tcPr>
            <w:tcW w:w="1791" w:type="dxa"/>
          </w:tcPr>
          <w:p w14:paraId="5AF28C87" w14:textId="77777777" w:rsidR="00D40031" w:rsidRDefault="00D40031" w:rsidP="00847C3D">
            <w:pPr>
              <w:ind w:firstLine="0"/>
              <w:rPr>
                <w:rStyle w:val="Tengill"/>
              </w:rPr>
            </w:pPr>
          </w:p>
          <w:p w14:paraId="26060424" w14:textId="77777777" w:rsidR="00D40031" w:rsidRDefault="00D40031" w:rsidP="00847C3D">
            <w:pPr>
              <w:ind w:firstLine="0"/>
              <w:rPr>
                <w:rStyle w:val="Tengill"/>
              </w:rPr>
            </w:pPr>
            <w:r>
              <w:rPr>
                <w:rStyle w:val="Tengill"/>
              </w:rPr>
              <w:t>Grunnkostnaður</w:t>
            </w:r>
          </w:p>
          <w:p w14:paraId="4FD99E89" w14:textId="77777777" w:rsidR="00D40031" w:rsidRDefault="00D40031" w:rsidP="00847C3D">
            <w:pPr>
              <w:ind w:firstLine="0"/>
              <w:rPr>
                <w:rStyle w:val="Tengill"/>
              </w:rPr>
            </w:pPr>
          </w:p>
          <w:p w14:paraId="6AA3D638" w14:textId="77777777" w:rsidR="00D40031" w:rsidRDefault="00D40031" w:rsidP="00847C3D">
            <w:pPr>
              <w:ind w:firstLine="0"/>
              <w:rPr>
                <w:rStyle w:val="Tengill"/>
              </w:rPr>
            </w:pPr>
            <w:r>
              <w:rPr>
                <w:rStyle w:val="Tengill"/>
              </w:rPr>
              <w:t>Viðbótarkostnaður</w:t>
            </w:r>
          </w:p>
          <w:p w14:paraId="2A5E0420" w14:textId="77777777" w:rsidR="00D40031" w:rsidRDefault="00D40031" w:rsidP="00847C3D">
            <w:pPr>
              <w:ind w:firstLine="0"/>
              <w:rPr>
                <w:rStyle w:val="Tengill"/>
              </w:rPr>
            </w:pPr>
          </w:p>
          <w:p w14:paraId="73D11B09" w14:textId="77777777" w:rsidR="00D40031" w:rsidRDefault="00D40031" w:rsidP="00847C3D">
            <w:pPr>
              <w:ind w:firstLine="0"/>
              <w:rPr>
                <w:rStyle w:val="Tengill"/>
              </w:rPr>
            </w:pPr>
            <w:r>
              <w:rPr>
                <w:rStyle w:val="Tengill"/>
              </w:rPr>
              <w:t>Alls</w:t>
            </w:r>
          </w:p>
        </w:tc>
        <w:tc>
          <w:tcPr>
            <w:tcW w:w="845" w:type="dxa"/>
            <w:tcMar>
              <w:top w:w="57" w:type="dxa"/>
              <w:bottom w:w="57" w:type="dxa"/>
            </w:tcMar>
          </w:tcPr>
          <w:p w14:paraId="38071930" w14:textId="77777777" w:rsidR="00D40031" w:rsidRDefault="00D40031" w:rsidP="00847C3D">
            <w:pPr>
              <w:ind w:firstLine="0"/>
              <w:jc w:val="right"/>
              <w:rPr>
                <w:rStyle w:val="Tengill"/>
              </w:rPr>
            </w:pPr>
          </w:p>
          <w:p w14:paraId="035E1617" w14:textId="77777777" w:rsidR="00D40031" w:rsidRDefault="00D40031" w:rsidP="00847C3D">
            <w:pPr>
              <w:ind w:firstLine="0"/>
              <w:jc w:val="right"/>
              <w:rPr>
                <w:rStyle w:val="Tengill"/>
              </w:rPr>
            </w:pPr>
            <w:r>
              <w:rPr>
                <w:rStyle w:val="Tengill"/>
              </w:rPr>
              <w:t>11,1</w:t>
            </w:r>
          </w:p>
          <w:p w14:paraId="4B82270E" w14:textId="77777777" w:rsidR="00D40031" w:rsidRDefault="00D40031" w:rsidP="00847C3D">
            <w:pPr>
              <w:ind w:firstLine="0"/>
              <w:jc w:val="right"/>
              <w:rPr>
                <w:rStyle w:val="Tengill"/>
              </w:rPr>
            </w:pPr>
          </w:p>
          <w:p w14:paraId="5B210E7D" w14:textId="77777777" w:rsidR="00D40031" w:rsidRDefault="00D40031" w:rsidP="00847C3D">
            <w:pPr>
              <w:ind w:firstLine="0"/>
              <w:jc w:val="right"/>
              <w:rPr>
                <w:rStyle w:val="Tengill"/>
              </w:rPr>
            </w:pPr>
            <w:r>
              <w:rPr>
                <w:rStyle w:val="Tengill"/>
              </w:rPr>
              <w:t>26,6</w:t>
            </w:r>
          </w:p>
          <w:p w14:paraId="1E35B96A" w14:textId="77777777" w:rsidR="00D40031" w:rsidRDefault="00D40031" w:rsidP="00847C3D">
            <w:pPr>
              <w:ind w:firstLine="0"/>
              <w:jc w:val="right"/>
              <w:rPr>
                <w:rStyle w:val="Tengill"/>
              </w:rPr>
            </w:pPr>
          </w:p>
          <w:p w14:paraId="0E16CF7C" w14:textId="77777777" w:rsidR="00D40031" w:rsidRDefault="00D40031" w:rsidP="00847C3D">
            <w:pPr>
              <w:ind w:firstLine="0"/>
              <w:jc w:val="right"/>
              <w:rPr>
                <w:rStyle w:val="Tengill"/>
              </w:rPr>
            </w:pPr>
            <w:r>
              <w:rPr>
                <w:rStyle w:val="Tengill"/>
              </w:rPr>
              <w:t>37,7</w:t>
            </w:r>
          </w:p>
        </w:tc>
        <w:tc>
          <w:tcPr>
            <w:tcW w:w="845" w:type="dxa"/>
            <w:tcMar>
              <w:top w:w="57" w:type="dxa"/>
              <w:bottom w:w="57" w:type="dxa"/>
            </w:tcMar>
          </w:tcPr>
          <w:p w14:paraId="1C226F76" w14:textId="77777777" w:rsidR="00D40031" w:rsidRDefault="00D40031" w:rsidP="00847C3D">
            <w:pPr>
              <w:ind w:firstLine="0"/>
              <w:jc w:val="right"/>
              <w:rPr>
                <w:rStyle w:val="Tengill"/>
              </w:rPr>
            </w:pPr>
          </w:p>
          <w:p w14:paraId="701ACA2C" w14:textId="77777777" w:rsidR="00D40031" w:rsidRDefault="00D40031" w:rsidP="00847C3D">
            <w:pPr>
              <w:ind w:firstLine="0"/>
              <w:jc w:val="right"/>
              <w:rPr>
                <w:rStyle w:val="Tengill"/>
              </w:rPr>
            </w:pPr>
            <w:r>
              <w:rPr>
                <w:rStyle w:val="Tengill"/>
              </w:rPr>
              <w:t>11,1</w:t>
            </w:r>
          </w:p>
          <w:p w14:paraId="4ECADEB0" w14:textId="77777777" w:rsidR="00D40031" w:rsidRDefault="00D40031" w:rsidP="00847C3D">
            <w:pPr>
              <w:ind w:firstLine="0"/>
              <w:jc w:val="right"/>
              <w:rPr>
                <w:rStyle w:val="Tengill"/>
              </w:rPr>
            </w:pPr>
          </w:p>
          <w:p w14:paraId="57CDE492" w14:textId="77777777" w:rsidR="00D40031" w:rsidRDefault="00D40031" w:rsidP="00847C3D">
            <w:pPr>
              <w:ind w:firstLine="0"/>
              <w:jc w:val="right"/>
              <w:rPr>
                <w:rStyle w:val="Tengill"/>
              </w:rPr>
            </w:pPr>
            <w:r>
              <w:rPr>
                <w:rStyle w:val="Tengill"/>
              </w:rPr>
              <w:t>24,5</w:t>
            </w:r>
          </w:p>
          <w:p w14:paraId="10C69EB1" w14:textId="77777777" w:rsidR="00D40031" w:rsidRDefault="00D40031" w:rsidP="00847C3D">
            <w:pPr>
              <w:ind w:firstLine="0"/>
              <w:jc w:val="right"/>
              <w:rPr>
                <w:rStyle w:val="Tengill"/>
              </w:rPr>
            </w:pPr>
          </w:p>
          <w:p w14:paraId="2EC2A420" w14:textId="77777777" w:rsidR="00D40031" w:rsidRDefault="00D40031" w:rsidP="00847C3D">
            <w:pPr>
              <w:ind w:firstLine="0"/>
              <w:jc w:val="right"/>
              <w:rPr>
                <w:rStyle w:val="Tengill"/>
              </w:rPr>
            </w:pPr>
            <w:r>
              <w:rPr>
                <w:rStyle w:val="Tengill"/>
              </w:rPr>
              <w:t>35,6</w:t>
            </w:r>
          </w:p>
          <w:p w14:paraId="7C1F1F76" w14:textId="77777777" w:rsidR="00D40031" w:rsidRDefault="00D40031" w:rsidP="00847C3D">
            <w:pPr>
              <w:ind w:firstLine="0"/>
              <w:jc w:val="right"/>
              <w:rPr>
                <w:rStyle w:val="Tengill"/>
              </w:rPr>
            </w:pPr>
          </w:p>
        </w:tc>
        <w:tc>
          <w:tcPr>
            <w:tcW w:w="845" w:type="dxa"/>
            <w:tcMar>
              <w:top w:w="57" w:type="dxa"/>
              <w:bottom w:w="57" w:type="dxa"/>
            </w:tcMar>
          </w:tcPr>
          <w:p w14:paraId="5106E8C7" w14:textId="77777777" w:rsidR="00D40031" w:rsidRDefault="00D40031" w:rsidP="00847C3D">
            <w:pPr>
              <w:ind w:firstLine="0"/>
              <w:jc w:val="right"/>
              <w:rPr>
                <w:rStyle w:val="Tengill"/>
              </w:rPr>
            </w:pPr>
          </w:p>
          <w:p w14:paraId="111CFE53" w14:textId="77777777" w:rsidR="00D40031" w:rsidRDefault="00D40031" w:rsidP="00847C3D">
            <w:pPr>
              <w:ind w:firstLine="0"/>
              <w:jc w:val="right"/>
              <w:rPr>
                <w:rStyle w:val="Tengill"/>
              </w:rPr>
            </w:pPr>
            <w:r>
              <w:rPr>
                <w:rStyle w:val="Tengill"/>
              </w:rPr>
              <w:t>11,1</w:t>
            </w:r>
          </w:p>
          <w:p w14:paraId="20557C70" w14:textId="77777777" w:rsidR="00D40031" w:rsidRDefault="00D40031" w:rsidP="00847C3D">
            <w:pPr>
              <w:ind w:firstLine="0"/>
              <w:jc w:val="right"/>
              <w:rPr>
                <w:rStyle w:val="Tengill"/>
              </w:rPr>
            </w:pPr>
          </w:p>
          <w:p w14:paraId="0A9396B4" w14:textId="77777777" w:rsidR="00D40031" w:rsidRDefault="00D40031" w:rsidP="00847C3D">
            <w:pPr>
              <w:ind w:firstLine="0"/>
              <w:jc w:val="right"/>
              <w:rPr>
                <w:rStyle w:val="Tengill"/>
              </w:rPr>
            </w:pPr>
            <w:r>
              <w:rPr>
                <w:rStyle w:val="Tengill"/>
              </w:rPr>
              <w:t>32,5</w:t>
            </w:r>
          </w:p>
          <w:p w14:paraId="5B092BD7" w14:textId="77777777" w:rsidR="00D40031" w:rsidRDefault="00D40031" w:rsidP="00847C3D">
            <w:pPr>
              <w:ind w:firstLine="0"/>
              <w:jc w:val="right"/>
              <w:rPr>
                <w:rStyle w:val="Tengill"/>
              </w:rPr>
            </w:pPr>
          </w:p>
          <w:p w14:paraId="09E3B6A5" w14:textId="77777777" w:rsidR="00D40031" w:rsidRDefault="00D40031" w:rsidP="00847C3D">
            <w:pPr>
              <w:ind w:firstLine="0"/>
              <w:jc w:val="right"/>
              <w:rPr>
                <w:rStyle w:val="Tengill"/>
              </w:rPr>
            </w:pPr>
            <w:r>
              <w:rPr>
                <w:rStyle w:val="Tengill"/>
              </w:rPr>
              <w:t>43,6</w:t>
            </w:r>
          </w:p>
        </w:tc>
        <w:tc>
          <w:tcPr>
            <w:tcW w:w="845" w:type="dxa"/>
            <w:tcMar>
              <w:top w:w="57" w:type="dxa"/>
              <w:bottom w:w="57" w:type="dxa"/>
            </w:tcMar>
          </w:tcPr>
          <w:p w14:paraId="7FE27BC1" w14:textId="77777777" w:rsidR="00D40031" w:rsidRDefault="00D40031" w:rsidP="00847C3D">
            <w:pPr>
              <w:ind w:firstLine="0"/>
              <w:jc w:val="right"/>
              <w:rPr>
                <w:rStyle w:val="Tengill"/>
              </w:rPr>
            </w:pPr>
          </w:p>
          <w:p w14:paraId="2EB29493" w14:textId="77777777" w:rsidR="00D40031" w:rsidRDefault="00D40031" w:rsidP="00847C3D">
            <w:pPr>
              <w:ind w:firstLine="0"/>
              <w:jc w:val="right"/>
              <w:rPr>
                <w:rStyle w:val="Tengill"/>
              </w:rPr>
            </w:pPr>
            <w:r>
              <w:rPr>
                <w:rStyle w:val="Tengill"/>
              </w:rPr>
              <w:t>11,1</w:t>
            </w:r>
          </w:p>
          <w:p w14:paraId="13FA8FD1" w14:textId="77777777" w:rsidR="00D40031" w:rsidRDefault="00D40031" w:rsidP="00847C3D">
            <w:pPr>
              <w:ind w:firstLine="0"/>
              <w:jc w:val="right"/>
              <w:rPr>
                <w:rStyle w:val="Tengill"/>
              </w:rPr>
            </w:pPr>
          </w:p>
          <w:p w14:paraId="0E6BF230" w14:textId="77777777" w:rsidR="00D40031" w:rsidRDefault="00D40031" w:rsidP="00847C3D">
            <w:pPr>
              <w:ind w:firstLine="0"/>
              <w:jc w:val="right"/>
              <w:rPr>
                <w:rStyle w:val="Tengill"/>
              </w:rPr>
            </w:pPr>
            <w:r>
              <w:rPr>
                <w:rStyle w:val="Tengill"/>
              </w:rPr>
              <w:t>31,5</w:t>
            </w:r>
          </w:p>
          <w:p w14:paraId="5E36C3D3" w14:textId="77777777" w:rsidR="00D40031" w:rsidRDefault="00D40031" w:rsidP="00847C3D">
            <w:pPr>
              <w:ind w:firstLine="0"/>
              <w:jc w:val="right"/>
              <w:rPr>
                <w:rStyle w:val="Tengill"/>
              </w:rPr>
            </w:pPr>
          </w:p>
          <w:p w14:paraId="76034BD1" w14:textId="77777777" w:rsidR="00D40031" w:rsidRDefault="00D40031" w:rsidP="00847C3D">
            <w:pPr>
              <w:ind w:firstLine="0"/>
              <w:jc w:val="right"/>
              <w:rPr>
                <w:rStyle w:val="Tengill"/>
              </w:rPr>
            </w:pPr>
            <w:r>
              <w:rPr>
                <w:rStyle w:val="Tengill"/>
              </w:rPr>
              <w:t>42,6</w:t>
            </w:r>
          </w:p>
          <w:p w14:paraId="77808CC7" w14:textId="77777777" w:rsidR="00D40031" w:rsidRDefault="00D40031" w:rsidP="00847C3D">
            <w:pPr>
              <w:ind w:firstLine="0"/>
              <w:jc w:val="right"/>
              <w:rPr>
                <w:rStyle w:val="Tengill"/>
              </w:rPr>
            </w:pPr>
          </w:p>
        </w:tc>
        <w:tc>
          <w:tcPr>
            <w:tcW w:w="846" w:type="dxa"/>
            <w:tcMar>
              <w:top w:w="57" w:type="dxa"/>
              <w:bottom w:w="57" w:type="dxa"/>
            </w:tcMar>
          </w:tcPr>
          <w:p w14:paraId="19A5B83D" w14:textId="77777777" w:rsidR="00D40031" w:rsidRDefault="00D40031" w:rsidP="00847C3D">
            <w:pPr>
              <w:ind w:firstLine="0"/>
              <w:jc w:val="right"/>
              <w:rPr>
                <w:rStyle w:val="Tengill"/>
              </w:rPr>
            </w:pPr>
          </w:p>
          <w:p w14:paraId="0599BF13" w14:textId="77777777" w:rsidR="00D40031" w:rsidRDefault="00D40031" w:rsidP="00847C3D">
            <w:pPr>
              <w:ind w:firstLine="0"/>
              <w:jc w:val="right"/>
              <w:rPr>
                <w:rStyle w:val="Tengill"/>
              </w:rPr>
            </w:pPr>
            <w:r>
              <w:rPr>
                <w:rStyle w:val="Tengill"/>
              </w:rPr>
              <w:t>11,1</w:t>
            </w:r>
          </w:p>
          <w:p w14:paraId="7643F73E" w14:textId="77777777" w:rsidR="00D40031" w:rsidRDefault="00D40031" w:rsidP="00847C3D">
            <w:pPr>
              <w:ind w:firstLine="0"/>
              <w:jc w:val="right"/>
              <w:rPr>
                <w:rStyle w:val="Tengill"/>
              </w:rPr>
            </w:pPr>
          </w:p>
          <w:p w14:paraId="28710055" w14:textId="77777777" w:rsidR="00D40031" w:rsidRDefault="00D40031" w:rsidP="00847C3D">
            <w:pPr>
              <w:ind w:firstLine="0"/>
              <w:jc w:val="right"/>
              <w:rPr>
                <w:rStyle w:val="Tengill"/>
              </w:rPr>
            </w:pPr>
            <w:r>
              <w:rPr>
                <w:rStyle w:val="Tengill"/>
              </w:rPr>
              <w:t>26,0</w:t>
            </w:r>
          </w:p>
          <w:p w14:paraId="12268BA2" w14:textId="77777777" w:rsidR="00D40031" w:rsidRDefault="00D40031" w:rsidP="00847C3D">
            <w:pPr>
              <w:ind w:firstLine="0"/>
              <w:jc w:val="right"/>
              <w:rPr>
                <w:rStyle w:val="Tengill"/>
              </w:rPr>
            </w:pPr>
          </w:p>
          <w:p w14:paraId="6BC775A7" w14:textId="77777777" w:rsidR="00D40031" w:rsidRDefault="00D40031" w:rsidP="00847C3D">
            <w:pPr>
              <w:ind w:firstLine="0"/>
              <w:jc w:val="right"/>
              <w:rPr>
                <w:rStyle w:val="Tengill"/>
              </w:rPr>
            </w:pPr>
            <w:r>
              <w:rPr>
                <w:rStyle w:val="Tengill"/>
              </w:rPr>
              <w:t>37,1</w:t>
            </w:r>
          </w:p>
          <w:p w14:paraId="5DF98386" w14:textId="77777777" w:rsidR="00D40031" w:rsidRDefault="00D40031" w:rsidP="00847C3D">
            <w:pPr>
              <w:ind w:firstLine="0"/>
              <w:jc w:val="right"/>
              <w:rPr>
                <w:rStyle w:val="Tengill"/>
              </w:rPr>
            </w:pPr>
          </w:p>
        </w:tc>
        <w:tc>
          <w:tcPr>
            <w:tcW w:w="1040" w:type="dxa"/>
            <w:tcBorders>
              <w:right w:val="nil"/>
            </w:tcBorders>
            <w:tcMar>
              <w:top w:w="57" w:type="dxa"/>
              <w:bottom w:w="57" w:type="dxa"/>
            </w:tcMar>
          </w:tcPr>
          <w:p w14:paraId="48378F42" w14:textId="77777777" w:rsidR="00D40031" w:rsidRDefault="00D40031" w:rsidP="00847C3D">
            <w:pPr>
              <w:ind w:firstLine="0"/>
              <w:jc w:val="right"/>
              <w:rPr>
                <w:rStyle w:val="Tengill"/>
              </w:rPr>
            </w:pPr>
          </w:p>
          <w:p w14:paraId="167FC02E" w14:textId="77777777" w:rsidR="00D40031" w:rsidRDefault="00D40031" w:rsidP="00847C3D">
            <w:pPr>
              <w:ind w:firstLine="0"/>
              <w:jc w:val="right"/>
              <w:rPr>
                <w:rStyle w:val="Tengill"/>
              </w:rPr>
            </w:pPr>
            <w:r>
              <w:rPr>
                <w:rStyle w:val="Tengill"/>
              </w:rPr>
              <w:t>55,5</w:t>
            </w:r>
          </w:p>
          <w:p w14:paraId="3DFC5916" w14:textId="77777777" w:rsidR="00D40031" w:rsidRDefault="00D40031" w:rsidP="00847C3D">
            <w:pPr>
              <w:ind w:firstLine="0"/>
              <w:jc w:val="right"/>
              <w:rPr>
                <w:rStyle w:val="Tengill"/>
              </w:rPr>
            </w:pPr>
          </w:p>
          <w:p w14:paraId="14F2798F" w14:textId="77777777" w:rsidR="00D40031" w:rsidRDefault="00D40031" w:rsidP="00847C3D">
            <w:pPr>
              <w:ind w:firstLine="0"/>
              <w:jc w:val="right"/>
              <w:rPr>
                <w:rStyle w:val="Tengill"/>
              </w:rPr>
            </w:pPr>
            <w:r>
              <w:rPr>
                <w:rStyle w:val="Tengill"/>
              </w:rPr>
              <w:t>141,1</w:t>
            </w:r>
          </w:p>
          <w:p w14:paraId="352E3140" w14:textId="77777777" w:rsidR="00D40031" w:rsidRDefault="00D40031" w:rsidP="00847C3D">
            <w:pPr>
              <w:ind w:firstLine="0"/>
              <w:jc w:val="right"/>
              <w:rPr>
                <w:rStyle w:val="Tengill"/>
              </w:rPr>
            </w:pPr>
          </w:p>
          <w:p w14:paraId="482436F8" w14:textId="77777777" w:rsidR="00D40031" w:rsidRDefault="00D40031" w:rsidP="00847C3D">
            <w:pPr>
              <w:ind w:firstLine="0"/>
              <w:jc w:val="right"/>
              <w:rPr>
                <w:rStyle w:val="Tengill"/>
              </w:rPr>
            </w:pPr>
            <w:r>
              <w:rPr>
                <w:rStyle w:val="Tengill"/>
              </w:rPr>
              <w:t>196,6</w:t>
            </w:r>
          </w:p>
        </w:tc>
      </w:tr>
      <w:bookmarkEnd w:id="16"/>
      <w:tr w:rsidR="00D40031" w14:paraId="638791B9" w14:textId="77777777" w:rsidTr="00847C3D">
        <w:tc>
          <w:tcPr>
            <w:tcW w:w="1861" w:type="dxa"/>
            <w:gridSpan w:val="2"/>
            <w:tcBorders>
              <w:left w:val="nil"/>
            </w:tcBorders>
            <w:tcMar>
              <w:top w:w="57" w:type="dxa"/>
              <w:bottom w:w="57" w:type="dxa"/>
            </w:tcMar>
          </w:tcPr>
          <w:p w14:paraId="1627FC53" w14:textId="77777777" w:rsidR="00D40031" w:rsidRDefault="00D40031" w:rsidP="00847C3D">
            <w:pPr>
              <w:ind w:firstLine="0"/>
              <w:jc w:val="left"/>
              <w:rPr>
                <w:rStyle w:val="Tengill"/>
              </w:rPr>
            </w:pPr>
            <w:r>
              <w:rPr>
                <w:rStyle w:val="Tengill"/>
              </w:rPr>
              <w:t>3. Bæta þekkingu á sýklalyfjaónæmi með vöktun og vísindarannsóknum</w:t>
            </w:r>
          </w:p>
        </w:tc>
        <w:tc>
          <w:tcPr>
            <w:tcW w:w="1791" w:type="dxa"/>
          </w:tcPr>
          <w:p w14:paraId="1707A6CA" w14:textId="77777777" w:rsidR="00D40031" w:rsidRDefault="00D40031" w:rsidP="00847C3D">
            <w:pPr>
              <w:ind w:firstLine="0"/>
              <w:rPr>
                <w:rStyle w:val="Tengill"/>
              </w:rPr>
            </w:pPr>
            <w:r>
              <w:rPr>
                <w:rStyle w:val="Tengill"/>
              </w:rPr>
              <w:t>Grunnkostnaður</w:t>
            </w:r>
          </w:p>
          <w:p w14:paraId="1B96546C" w14:textId="77777777" w:rsidR="00D40031" w:rsidRDefault="00D40031" w:rsidP="00847C3D">
            <w:pPr>
              <w:ind w:firstLine="0"/>
              <w:rPr>
                <w:rStyle w:val="Tengill"/>
              </w:rPr>
            </w:pPr>
          </w:p>
          <w:p w14:paraId="7131802F" w14:textId="77777777" w:rsidR="00D40031" w:rsidRDefault="00D40031" w:rsidP="00847C3D">
            <w:pPr>
              <w:ind w:firstLine="0"/>
              <w:rPr>
                <w:rStyle w:val="Tengill"/>
              </w:rPr>
            </w:pPr>
            <w:r>
              <w:rPr>
                <w:rStyle w:val="Tengill"/>
              </w:rPr>
              <w:t>Viðbótarkostnaður</w:t>
            </w:r>
          </w:p>
          <w:p w14:paraId="130F79D2" w14:textId="77777777" w:rsidR="00D40031" w:rsidRDefault="00D40031" w:rsidP="00847C3D">
            <w:pPr>
              <w:ind w:firstLine="0"/>
              <w:rPr>
                <w:rStyle w:val="Tengill"/>
              </w:rPr>
            </w:pPr>
          </w:p>
          <w:p w14:paraId="53C132BF" w14:textId="77777777" w:rsidR="00D40031" w:rsidRDefault="00D40031" w:rsidP="00847C3D">
            <w:pPr>
              <w:ind w:firstLine="0"/>
              <w:rPr>
                <w:rStyle w:val="Tengill"/>
              </w:rPr>
            </w:pPr>
            <w:r>
              <w:rPr>
                <w:rStyle w:val="Tengill"/>
              </w:rPr>
              <w:t>Alls</w:t>
            </w:r>
          </w:p>
        </w:tc>
        <w:tc>
          <w:tcPr>
            <w:tcW w:w="845" w:type="dxa"/>
            <w:tcMar>
              <w:top w:w="57" w:type="dxa"/>
              <w:bottom w:w="57" w:type="dxa"/>
            </w:tcMar>
          </w:tcPr>
          <w:p w14:paraId="35C4B1D6" w14:textId="77777777" w:rsidR="00D40031" w:rsidRDefault="00D40031" w:rsidP="00847C3D">
            <w:pPr>
              <w:ind w:firstLine="0"/>
              <w:jc w:val="right"/>
              <w:rPr>
                <w:rStyle w:val="Tengill"/>
              </w:rPr>
            </w:pPr>
            <w:r>
              <w:rPr>
                <w:rStyle w:val="Tengill"/>
              </w:rPr>
              <w:t>59,1</w:t>
            </w:r>
          </w:p>
          <w:p w14:paraId="55E74086" w14:textId="77777777" w:rsidR="00D40031" w:rsidRDefault="00D40031" w:rsidP="00847C3D">
            <w:pPr>
              <w:ind w:firstLine="0"/>
              <w:jc w:val="right"/>
              <w:rPr>
                <w:rStyle w:val="Tengill"/>
              </w:rPr>
            </w:pPr>
          </w:p>
          <w:p w14:paraId="23A33018" w14:textId="77777777" w:rsidR="00D40031" w:rsidRDefault="00D40031" w:rsidP="00847C3D">
            <w:pPr>
              <w:ind w:firstLine="0"/>
              <w:jc w:val="right"/>
              <w:rPr>
                <w:rStyle w:val="Tengill"/>
              </w:rPr>
            </w:pPr>
            <w:r>
              <w:rPr>
                <w:rStyle w:val="Tengill"/>
              </w:rPr>
              <w:t>93,5</w:t>
            </w:r>
          </w:p>
          <w:p w14:paraId="4678D346" w14:textId="77777777" w:rsidR="00D40031" w:rsidRDefault="00D40031" w:rsidP="00847C3D">
            <w:pPr>
              <w:ind w:firstLine="0"/>
              <w:jc w:val="right"/>
              <w:rPr>
                <w:rStyle w:val="Tengill"/>
              </w:rPr>
            </w:pPr>
          </w:p>
          <w:p w14:paraId="244DF401" w14:textId="77777777" w:rsidR="00D40031" w:rsidRDefault="00D40031" w:rsidP="00847C3D">
            <w:pPr>
              <w:ind w:firstLine="0"/>
              <w:jc w:val="right"/>
              <w:rPr>
                <w:rStyle w:val="Tengill"/>
              </w:rPr>
            </w:pPr>
            <w:r>
              <w:rPr>
                <w:rStyle w:val="Tengill"/>
              </w:rPr>
              <w:t>152,6</w:t>
            </w:r>
          </w:p>
        </w:tc>
        <w:tc>
          <w:tcPr>
            <w:tcW w:w="845" w:type="dxa"/>
            <w:tcMar>
              <w:top w:w="57" w:type="dxa"/>
              <w:bottom w:w="57" w:type="dxa"/>
            </w:tcMar>
          </w:tcPr>
          <w:p w14:paraId="5D96A074" w14:textId="77777777" w:rsidR="00D40031" w:rsidRDefault="00D40031" w:rsidP="00847C3D">
            <w:pPr>
              <w:ind w:firstLine="0"/>
              <w:jc w:val="right"/>
              <w:rPr>
                <w:rStyle w:val="Tengill"/>
              </w:rPr>
            </w:pPr>
            <w:r>
              <w:rPr>
                <w:rStyle w:val="Tengill"/>
              </w:rPr>
              <w:t>59,1</w:t>
            </w:r>
          </w:p>
          <w:p w14:paraId="76967707" w14:textId="77777777" w:rsidR="00D40031" w:rsidRDefault="00D40031" w:rsidP="00847C3D">
            <w:pPr>
              <w:ind w:firstLine="0"/>
              <w:jc w:val="right"/>
              <w:rPr>
                <w:rStyle w:val="Tengill"/>
              </w:rPr>
            </w:pPr>
          </w:p>
          <w:p w14:paraId="05612F2C" w14:textId="77777777" w:rsidR="00D40031" w:rsidRDefault="00D40031" w:rsidP="00847C3D">
            <w:pPr>
              <w:ind w:firstLine="0"/>
              <w:jc w:val="right"/>
              <w:rPr>
                <w:rStyle w:val="Tengill"/>
              </w:rPr>
            </w:pPr>
            <w:r>
              <w:rPr>
                <w:rStyle w:val="Tengill"/>
              </w:rPr>
              <w:t>90,2</w:t>
            </w:r>
          </w:p>
          <w:p w14:paraId="7C5B668D" w14:textId="77777777" w:rsidR="00D40031" w:rsidRDefault="00D40031" w:rsidP="00847C3D">
            <w:pPr>
              <w:ind w:firstLine="0"/>
              <w:jc w:val="right"/>
              <w:rPr>
                <w:rStyle w:val="Tengill"/>
              </w:rPr>
            </w:pPr>
          </w:p>
          <w:p w14:paraId="597A1892" w14:textId="77777777" w:rsidR="00D40031" w:rsidRDefault="00D40031" w:rsidP="00847C3D">
            <w:pPr>
              <w:ind w:firstLine="0"/>
              <w:jc w:val="right"/>
              <w:rPr>
                <w:rStyle w:val="Tengill"/>
              </w:rPr>
            </w:pPr>
            <w:r>
              <w:rPr>
                <w:rStyle w:val="Tengill"/>
              </w:rPr>
              <w:t>149,3</w:t>
            </w:r>
          </w:p>
        </w:tc>
        <w:tc>
          <w:tcPr>
            <w:tcW w:w="845" w:type="dxa"/>
            <w:tcMar>
              <w:top w:w="57" w:type="dxa"/>
              <w:bottom w:w="57" w:type="dxa"/>
            </w:tcMar>
          </w:tcPr>
          <w:p w14:paraId="3C0D81DD" w14:textId="77777777" w:rsidR="00D40031" w:rsidRDefault="00D40031" w:rsidP="00847C3D">
            <w:pPr>
              <w:ind w:firstLine="0"/>
              <w:jc w:val="right"/>
              <w:rPr>
                <w:rStyle w:val="Tengill"/>
              </w:rPr>
            </w:pPr>
            <w:r>
              <w:rPr>
                <w:rStyle w:val="Tengill"/>
              </w:rPr>
              <w:t>56,3</w:t>
            </w:r>
          </w:p>
          <w:p w14:paraId="6D3BD98B" w14:textId="77777777" w:rsidR="00D40031" w:rsidRDefault="00D40031" w:rsidP="00847C3D">
            <w:pPr>
              <w:ind w:firstLine="0"/>
              <w:jc w:val="right"/>
              <w:rPr>
                <w:rStyle w:val="Tengill"/>
              </w:rPr>
            </w:pPr>
          </w:p>
          <w:p w14:paraId="2C1596AB" w14:textId="77777777" w:rsidR="00D40031" w:rsidRDefault="00D40031" w:rsidP="00847C3D">
            <w:pPr>
              <w:ind w:firstLine="0"/>
              <w:jc w:val="right"/>
              <w:rPr>
                <w:rStyle w:val="Tengill"/>
              </w:rPr>
            </w:pPr>
            <w:r>
              <w:rPr>
                <w:rStyle w:val="Tengill"/>
              </w:rPr>
              <w:t>85,2</w:t>
            </w:r>
          </w:p>
          <w:p w14:paraId="5341EA9F" w14:textId="77777777" w:rsidR="00D40031" w:rsidRDefault="00D40031" w:rsidP="00847C3D">
            <w:pPr>
              <w:ind w:firstLine="0"/>
              <w:jc w:val="right"/>
              <w:rPr>
                <w:rStyle w:val="Tengill"/>
              </w:rPr>
            </w:pPr>
          </w:p>
          <w:p w14:paraId="22D2C110" w14:textId="77777777" w:rsidR="00D40031" w:rsidRDefault="00D40031" w:rsidP="00847C3D">
            <w:pPr>
              <w:ind w:firstLine="0"/>
              <w:jc w:val="right"/>
              <w:rPr>
                <w:rStyle w:val="Tengill"/>
              </w:rPr>
            </w:pPr>
            <w:r>
              <w:rPr>
                <w:rStyle w:val="Tengill"/>
              </w:rPr>
              <w:t>141,5</w:t>
            </w:r>
          </w:p>
        </w:tc>
        <w:tc>
          <w:tcPr>
            <w:tcW w:w="845" w:type="dxa"/>
            <w:tcMar>
              <w:top w:w="57" w:type="dxa"/>
              <w:bottom w:w="57" w:type="dxa"/>
            </w:tcMar>
          </w:tcPr>
          <w:p w14:paraId="0A453A7D" w14:textId="77777777" w:rsidR="00D40031" w:rsidRDefault="00D40031" w:rsidP="00847C3D">
            <w:pPr>
              <w:ind w:firstLine="0"/>
              <w:jc w:val="right"/>
              <w:rPr>
                <w:rStyle w:val="Tengill"/>
              </w:rPr>
            </w:pPr>
            <w:r>
              <w:rPr>
                <w:rStyle w:val="Tengill"/>
              </w:rPr>
              <w:t>56,0</w:t>
            </w:r>
          </w:p>
          <w:p w14:paraId="1CE17F51" w14:textId="77777777" w:rsidR="00D40031" w:rsidRDefault="00D40031" w:rsidP="00847C3D">
            <w:pPr>
              <w:ind w:firstLine="0"/>
              <w:jc w:val="right"/>
              <w:rPr>
                <w:rStyle w:val="Tengill"/>
              </w:rPr>
            </w:pPr>
          </w:p>
          <w:p w14:paraId="11DDF8DB" w14:textId="77777777" w:rsidR="00D40031" w:rsidRDefault="00D40031" w:rsidP="00847C3D">
            <w:pPr>
              <w:ind w:firstLine="0"/>
              <w:jc w:val="right"/>
              <w:rPr>
                <w:rStyle w:val="Tengill"/>
              </w:rPr>
            </w:pPr>
            <w:r>
              <w:rPr>
                <w:rStyle w:val="Tengill"/>
              </w:rPr>
              <w:t>97,7</w:t>
            </w:r>
          </w:p>
          <w:p w14:paraId="0BA0A667" w14:textId="77777777" w:rsidR="00D40031" w:rsidRDefault="00D40031" w:rsidP="00847C3D">
            <w:pPr>
              <w:ind w:firstLine="0"/>
              <w:jc w:val="right"/>
              <w:rPr>
                <w:rStyle w:val="Tengill"/>
              </w:rPr>
            </w:pPr>
          </w:p>
          <w:p w14:paraId="2D1C83C7" w14:textId="77777777" w:rsidR="00D40031" w:rsidRDefault="00D40031" w:rsidP="00847C3D">
            <w:pPr>
              <w:ind w:firstLine="0"/>
              <w:jc w:val="right"/>
              <w:rPr>
                <w:rStyle w:val="Tengill"/>
              </w:rPr>
            </w:pPr>
            <w:r>
              <w:rPr>
                <w:rStyle w:val="Tengill"/>
              </w:rPr>
              <w:t>153,7</w:t>
            </w:r>
          </w:p>
        </w:tc>
        <w:tc>
          <w:tcPr>
            <w:tcW w:w="846" w:type="dxa"/>
            <w:tcMar>
              <w:top w:w="57" w:type="dxa"/>
              <w:bottom w:w="57" w:type="dxa"/>
            </w:tcMar>
          </w:tcPr>
          <w:p w14:paraId="39F83246" w14:textId="77777777" w:rsidR="00D40031" w:rsidRDefault="00D40031" w:rsidP="00847C3D">
            <w:pPr>
              <w:ind w:firstLine="0"/>
              <w:jc w:val="right"/>
              <w:rPr>
                <w:rStyle w:val="Tengill"/>
              </w:rPr>
            </w:pPr>
            <w:r>
              <w:rPr>
                <w:rStyle w:val="Tengill"/>
              </w:rPr>
              <w:t>72,4</w:t>
            </w:r>
          </w:p>
          <w:p w14:paraId="01AD7E20" w14:textId="77777777" w:rsidR="00D40031" w:rsidRDefault="00D40031" w:rsidP="00847C3D">
            <w:pPr>
              <w:ind w:firstLine="0"/>
              <w:jc w:val="right"/>
              <w:rPr>
                <w:rStyle w:val="Tengill"/>
              </w:rPr>
            </w:pPr>
          </w:p>
          <w:p w14:paraId="77CC4B2B" w14:textId="77777777" w:rsidR="00D40031" w:rsidRDefault="00D40031" w:rsidP="00847C3D">
            <w:pPr>
              <w:ind w:firstLine="0"/>
              <w:jc w:val="right"/>
              <w:rPr>
                <w:rStyle w:val="Tengill"/>
              </w:rPr>
            </w:pPr>
            <w:r>
              <w:rPr>
                <w:rStyle w:val="Tengill"/>
              </w:rPr>
              <w:t>99,2</w:t>
            </w:r>
          </w:p>
          <w:p w14:paraId="736C9DA4" w14:textId="77777777" w:rsidR="00D40031" w:rsidRDefault="00D40031" w:rsidP="00847C3D">
            <w:pPr>
              <w:ind w:firstLine="0"/>
              <w:jc w:val="right"/>
              <w:rPr>
                <w:rStyle w:val="Tengill"/>
              </w:rPr>
            </w:pPr>
          </w:p>
          <w:p w14:paraId="28E89870" w14:textId="77777777" w:rsidR="00D40031" w:rsidRDefault="00D40031" w:rsidP="00847C3D">
            <w:pPr>
              <w:ind w:firstLine="0"/>
              <w:jc w:val="right"/>
              <w:rPr>
                <w:rStyle w:val="Tengill"/>
              </w:rPr>
            </w:pPr>
            <w:r>
              <w:rPr>
                <w:rStyle w:val="Tengill"/>
              </w:rPr>
              <w:t>171,6</w:t>
            </w:r>
          </w:p>
        </w:tc>
        <w:tc>
          <w:tcPr>
            <w:tcW w:w="1040" w:type="dxa"/>
            <w:tcBorders>
              <w:right w:val="nil"/>
            </w:tcBorders>
            <w:tcMar>
              <w:top w:w="57" w:type="dxa"/>
              <w:bottom w:w="57" w:type="dxa"/>
            </w:tcMar>
          </w:tcPr>
          <w:p w14:paraId="7E2CBDE7" w14:textId="77777777" w:rsidR="00D40031" w:rsidRDefault="00D40031" w:rsidP="00847C3D">
            <w:pPr>
              <w:ind w:firstLine="0"/>
              <w:jc w:val="right"/>
              <w:rPr>
                <w:rStyle w:val="Tengill"/>
              </w:rPr>
            </w:pPr>
            <w:r>
              <w:rPr>
                <w:rStyle w:val="Tengill"/>
              </w:rPr>
              <w:t>302,9</w:t>
            </w:r>
          </w:p>
          <w:p w14:paraId="157E301F" w14:textId="77777777" w:rsidR="00D40031" w:rsidRDefault="00D40031" w:rsidP="00847C3D">
            <w:pPr>
              <w:ind w:firstLine="0"/>
              <w:jc w:val="right"/>
              <w:rPr>
                <w:rStyle w:val="Tengill"/>
              </w:rPr>
            </w:pPr>
          </w:p>
          <w:p w14:paraId="2508C9A3" w14:textId="77777777" w:rsidR="00D40031" w:rsidRDefault="00D40031" w:rsidP="00847C3D">
            <w:pPr>
              <w:ind w:firstLine="0"/>
              <w:jc w:val="right"/>
              <w:rPr>
                <w:rStyle w:val="Tengill"/>
              </w:rPr>
            </w:pPr>
            <w:r>
              <w:rPr>
                <w:rStyle w:val="Tengill"/>
              </w:rPr>
              <w:t>465,8</w:t>
            </w:r>
          </w:p>
          <w:p w14:paraId="5D2C4AC7" w14:textId="77777777" w:rsidR="00D40031" w:rsidRDefault="00D40031" w:rsidP="00847C3D">
            <w:pPr>
              <w:ind w:firstLine="0"/>
              <w:jc w:val="right"/>
              <w:rPr>
                <w:rStyle w:val="Tengill"/>
              </w:rPr>
            </w:pPr>
          </w:p>
          <w:p w14:paraId="073DA8F6" w14:textId="77777777" w:rsidR="00D40031" w:rsidRDefault="00D40031" w:rsidP="00847C3D">
            <w:pPr>
              <w:ind w:firstLine="0"/>
              <w:jc w:val="right"/>
              <w:rPr>
                <w:rStyle w:val="Tengill"/>
              </w:rPr>
            </w:pPr>
            <w:r>
              <w:rPr>
                <w:rStyle w:val="Tengill"/>
              </w:rPr>
              <w:t>768,7</w:t>
            </w:r>
          </w:p>
        </w:tc>
      </w:tr>
      <w:tr w:rsidR="00D40031" w14:paraId="08144FBF" w14:textId="77777777" w:rsidTr="00847C3D">
        <w:tc>
          <w:tcPr>
            <w:tcW w:w="1861" w:type="dxa"/>
            <w:gridSpan w:val="2"/>
            <w:tcBorders>
              <w:left w:val="nil"/>
            </w:tcBorders>
            <w:tcMar>
              <w:top w:w="57" w:type="dxa"/>
              <w:bottom w:w="57" w:type="dxa"/>
            </w:tcMar>
          </w:tcPr>
          <w:p w14:paraId="62EE546D" w14:textId="77777777" w:rsidR="00D40031" w:rsidRDefault="00D40031" w:rsidP="00847C3D">
            <w:pPr>
              <w:ind w:firstLine="0"/>
              <w:jc w:val="left"/>
              <w:rPr>
                <w:rStyle w:val="Tengill"/>
              </w:rPr>
            </w:pPr>
            <w:r>
              <w:rPr>
                <w:rStyle w:val="Tengill"/>
              </w:rPr>
              <w:t>4. Hefta útbreiðslu sýklalyfjaónæmis með íhlutandi aðgerðum</w:t>
            </w:r>
          </w:p>
        </w:tc>
        <w:tc>
          <w:tcPr>
            <w:tcW w:w="1791" w:type="dxa"/>
          </w:tcPr>
          <w:p w14:paraId="6C29BADA" w14:textId="77777777" w:rsidR="00D40031" w:rsidRPr="006D129F" w:rsidRDefault="00D40031" w:rsidP="00847C3D">
            <w:pPr>
              <w:ind w:firstLine="0"/>
              <w:rPr>
                <w:rStyle w:val="Tengill"/>
              </w:rPr>
            </w:pPr>
            <w:r w:rsidRPr="006D129F">
              <w:rPr>
                <w:rStyle w:val="Tengill"/>
              </w:rPr>
              <w:t>Grunnkostnaður</w:t>
            </w:r>
          </w:p>
          <w:p w14:paraId="17F2348F" w14:textId="77777777" w:rsidR="00D40031" w:rsidRPr="006D129F" w:rsidRDefault="00D40031" w:rsidP="00847C3D">
            <w:pPr>
              <w:ind w:firstLine="0"/>
              <w:rPr>
                <w:rStyle w:val="Tengill"/>
              </w:rPr>
            </w:pPr>
          </w:p>
          <w:p w14:paraId="41D71310" w14:textId="77777777" w:rsidR="00D40031" w:rsidRPr="006D129F" w:rsidRDefault="00D40031" w:rsidP="00847C3D">
            <w:pPr>
              <w:ind w:firstLine="0"/>
              <w:rPr>
                <w:rStyle w:val="Tengill"/>
              </w:rPr>
            </w:pPr>
            <w:r w:rsidRPr="006D129F">
              <w:rPr>
                <w:rStyle w:val="Tengill"/>
              </w:rPr>
              <w:t>Viðbótarkostnaður</w:t>
            </w:r>
          </w:p>
          <w:p w14:paraId="730320BB" w14:textId="77777777" w:rsidR="00D40031" w:rsidRPr="006D129F" w:rsidRDefault="00D40031" w:rsidP="00847C3D">
            <w:pPr>
              <w:ind w:firstLine="0"/>
              <w:rPr>
                <w:rStyle w:val="Tengill"/>
              </w:rPr>
            </w:pPr>
          </w:p>
          <w:p w14:paraId="5A0B908E" w14:textId="77777777" w:rsidR="00D40031" w:rsidRDefault="00D40031" w:rsidP="00847C3D">
            <w:pPr>
              <w:ind w:firstLine="0"/>
              <w:rPr>
                <w:rStyle w:val="Tengill"/>
              </w:rPr>
            </w:pPr>
            <w:r w:rsidRPr="006D129F">
              <w:rPr>
                <w:rStyle w:val="Tengill"/>
              </w:rPr>
              <w:t>Alls</w:t>
            </w:r>
          </w:p>
        </w:tc>
        <w:tc>
          <w:tcPr>
            <w:tcW w:w="845" w:type="dxa"/>
            <w:tcMar>
              <w:top w:w="57" w:type="dxa"/>
              <w:bottom w:w="57" w:type="dxa"/>
            </w:tcMar>
          </w:tcPr>
          <w:p w14:paraId="08B583B6" w14:textId="77777777" w:rsidR="00D40031" w:rsidRDefault="00D40031" w:rsidP="00847C3D">
            <w:pPr>
              <w:ind w:firstLine="0"/>
              <w:jc w:val="right"/>
              <w:rPr>
                <w:rStyle w:val="Tengill"/>
              </w:rPr>
            </w:pPr>
            <w:r>
              <w:rPr>
                <w:rStyle w:val="Tengill"/>
              </w:rPr>
              <w:t>1,6</w:t>
            </w:r>
          </w:p>
          <w:p w14:paraId="368A94B7" w14:textId="77777777" w:rsidR="00D40031" w:rsidRDefault="00D40031" w:rsidP="00847C3D">
            <w:pPr>
              <w:ind w:firstLine="0"/>
              <w:jc w:val="right"/>
              <w:rPr>
                <w:rStyle w:val="Tengill"/>
              </w:rPr>
            </w:pPr>
          </w:p>
          <w:p w14:paraId="7D7801C6" w14:textId="77777777" w:rsidR="00D40031" w:rsidRDefault="00D40031" w:rsidP="00847C3D">
            <w:pPr>
              <w:ind w:firstLine="0"/>
              <w:jc w:val="right"/>
              <w:rPr>
                <w:rStyle w:val="Tengill"/>
              </w:rPr>
            </w:pPr>
            <w:r>
              <w:rPr>
                <w:rStyle w:val="Tengill"/>
              </w:rPr>
              <w:t>21,6</w:t>
            </w:r>
          </w:p>
          <w:p w14:paraId="7FE90C33" w14:textId="77777777" w:rsidR="00D40031" w:rsidRDefault="00D40031" w:rsidP="00847C3D">
            <w:pPr>
              <w:ind w:firstLine="0"/>
              <w:jc w:val="right"/>
              <w:rPr>
                <w:rStyle w:val="Tengill"/>
              </w:rPr>
            </w:pPr>
          </w:p>
          <w:p w14:paraId="2A8609B9" w14:textId="77777777" w:rsidR="00D40031" w:rsidRDefault="00D40031" w:rsidP="00847C3D">
            <w:pPr>
              <w:ind w:firstLine="0"/>
              <w:jc w:val="right"/>
              <w:rPr>
                <w:rStyle w:val="Tengill"/>
              </w:rPr>
            </w:pPr>
            <w:r>
              <w:rPr>
                <w:rStyle w:val="Tengill"/>
              </w:rPr>
              <w:t>23,2</w:t>
            </w:r>
          </w:p>
        </w:tc>
        <w:tc>
          <w:tcPr>
            <w:tcW w:w="845" w:type="dxa"/>
            <w:tcMar>
              <w:top w:w="57" w:type="dxa"/>
              <w:bottom w:w="57" w:type="dxa"/>
            </w:tcMar>
          </w:tcPr>
          <w:p w14:paraId="732FC829" w14:textId="77777777" w:rsidR="00D40031" w:rsidRDefault="00D40031" w:rsidP="00847C3D">
            <w:pPr>
              <w:ind w:firstLine="0"/>
              <w:jc w:val="right"/>
              <w:rPr>
                <w:rStyle w:val="Tengill"/>
              </w:rPr>
            </w:pPr>
            <w:r>
              <w:rPr>
                <w:rStyle w:val="Tengill"/>
              </w:rPr>
              <w:t>1,6</w:t>
            </w:r>
          </w:p>
          <w:p w14:paraId="0B1EB174" w14:textId="77777777" w:rsidR="00D40031" w:rsidRDefault="00D40031" w:rsidP="00847C3D">
            <w:pPr>
              <w:ind w:firstLine="0"/>
              <w:jc w:val="right"/>
              <w:rPr>
                <w:rStyle w:val="Tengill"/>
              </w:rPr>
            </w:pPr>
          </w:p>
          <w:p w14:paraId="338A59A0" w14:textId="77777777" w:rsidR="00D40031" w:rsidRDefault="00D40031" w:rsidP="00847C3D">
            <w:pPr>
              <w:ind w:firstLine="0"/>
              <w:jc w:val="right"/>
              <w:rPr>
                <w:rStyle w:val="Tengill"/>
              </w:rPr>
            </w:pPr>
            <w:r>
              <w:rPr>
                <w:rStyle w:val="Tengill"/>
              </w:rPr>
              <w:t>11,0</w:t>
            </w:r>
          </w:p>
          <w:p w14:paraId="5D9D2897" w14:textId="77777777" w:rsidR="00D40031" w:rsidRDefault="00D40031" w:rsidP="00847C3D">
            <w:pPr>
              <w:ind w:firstLine="0"/>
              <w:jc w:val="right"/>
              <w:rPr>
                <w:rStyle w:val="Tengill"/>
              </w:rPr>
            </w:pPr>
          </w:p>
          <w:p w14:paraId="712AFE0C" w14:textId="77777777" w:rsidR="00D40031" w:rsidRDefault="00D40031" w:rsidP="00847C3D">
            <w:pPr>
              <w:ind w:firstLine="0"/>
              <w:jc w:val="right"/>
              <w:rPr>
                <w:rStyle w:val="Tengill"/>
              </w:rPr>
            </w:pPr>
            <w:r>
              <w:rPr>
                <w:rStyle w:val="Tengill"/>
              </w:rPr>
              <w:t>12,6</w:t>
            </w:r>
          </w:p>
        </w:tc>
        <w:tc>
          <w:tcPr>
            <w:tcW w:w="845" w:type="dxa"/>
            <w:tcMar>
              <w:top w:w="57" w:type="dxa"/>
              <w:bottom w:w="57" w:type="dxa"/>
            </w:tcMar>
          </w:tcPr>
          <w:p w14:paraId="1961005B" w14:textId="77777777" w:rsidR="00D40031" w:rsidRDefault="00D40031" w:rsidP="00847C3D">
            <w:pPr>
              <w:ind w:firstLine="0"/>
              <w:jc w:val="right"/>
              <w:rPr>
                <w:rStyle w:val="Tengill"/>
              </w:rPr>
            </w:pPr>
            <w:r>
              <w:rPr>
                <w:rStyle w:val="Tengill"/>
              </w:rPr>
              <w:t>1,6</w:t>
            </w:r>
          </w:p>
          <w:p w14:paraId="39576F69" w14:textId="77777777" w:rsidR="00D40031" w:rsidRDefault="00D40031" w:rsidP="00847C3D">
            <w:pPr>
              <w:ind w:firstLine="0"/>
              <w:jc w:val="right"/>
              <w:rPr>
                <w:rStyle w:val="Tengill"/>
              </w:rPr>
            </w:pPr>
          </w:p>
          <w:p w14:paraId="6A59EC81" w14:textId="77777777" w:rsidR="00D40031" w:rsidRDefault="00D40031" w:rsidP="00847C3D">
            <w:pPr>
              <w:ind w:firstLine="0"/>
              <w:jc w:val="right"/>
              <w:rPr>
                <w:rStyle w:val="Tengill"/>
              </w:rPr>
            </w:pPr>
            <w:r>
              <w:rPr>
                <w:rStyle w:val="Tengill"/>
              </w:rPr>
              <w:t>4,1</w:t>
            </w:r>
          </w:p>
          <w:p w14:paraId="16D2F725" w14:textId="77777777" w:rsidR="00D40031" w:rsidRDefault="00D40031" w:rsidP="00847C3D">
            <w:pPr>
              <w:ind w:firstLine="0"/>
              <w:jc w:val="right"/>
              <w:rPr>
                <w:rStyle w:val="Tengill"/>
              </w:rPr>
            </w:pPr>
          </w:p>
          <w:p w14:paraId="365FF798" w14:textId="77777777" w:rsidR="00D40031" w:rsidRDefault="00D40031" w:rsidP="00847C3D">
            <w:pPr>
              <w:ind w:firstLine="0"/>
              <w:jc w:val="right"/>
              <w:rPr>
                <w:rStyle w:val="Tengill"/>
              </w:rPr>
            </w:pPr>
            <w:r>
              <w:rPr>
                <w:rStyle w:val="Tengill"/>
              </w:rPr>
              <w:t>5,7</w:t>
            </w:r>
          </w:p>
        </w:tc>
        <w:tc>
          <w:tcPr>
            <w:tcW w:w="845" w:type="dxa"/>
            <w:tcMar>
              <w:top w:w="57" w:type="dxa"/>
              <w:bottom w:w="57" w:type="dxa"/>
            </w:tcMar>
          </w:tcPr>
          <w:p w14:paraId="1AAA620E" w14:textId="77777777" w:rsidR="00D40031" w:rsidRDefault="00D40031" w:rsidP="00847C3D">
            <w:pPr>
              <w:ind w:firstLine="0"/>
              <w:jc w:val="right"/>
              <w:rPr>
                <w:rStyle w:val="Tengill"/>
              </w:rPr>
            </w:pPr>
            <w:r>
              <w:rPr>
                <w:rStyle w:val="Tengill"/>
              </w:rPr>
              <w:t>1,6</w:t>
            </w:r>
          </w:p>
          <w:p w14:paraId="158072C7" w14:textId="77777777" w:rsidR="00D40031" w:rsidRDefault="00D40031" w:rsidP="00847C3D">
            <w:pPr>
              <w:ind w:firstLine="0"/>
              <w:jc w:val="right"/>
              <w:rPr>
                <w:rStyle w:val="Tengill"/>
              </w:rPr>
            </w:pPr>
          </w:p>
          <w:p w14:paraId="7BBFFEE7" w14:textId="77777777" w:rsidR="00D40031" w:rsidRDefault="00D40031" w:rsidP="00847C3D">
            <w:pPr>
              <w:ind w:firstLine="0"/>
              <w:jc w:val="right"/>
              <w:rPr>
                <w:rStyle w:val="Tengill"/>
              </w:rPr>
            </w:pPr>
            <w:r>
              <w:rPr>
                <w:rStyle w:val="Tengill"/>
              </w:rPr>
              <w:t>4,1</w:t>
            </w:r>
          </w:p>
          <w:p w14:paraId="0FA2D01E" w14:textId="77777777" w:rsidR="00D40031" w:rsidRDefault="00D40031" w:rsidP="00847C3D">
            <w:pPr>
              <w:ind w:firstLine="0"/>
              <w:jc w:val="right"/>
              <w:rPr>
                <w:rStyle w:val="Tengill"/>
              </w:rPr>
            </w:pPr>
          </w:p>
          <w:p w14:paraId="7416CD76" w14:textId="77777777" w:rsidR="00D40031" w:rsidRDefault="00D40031" w:rsidP="00847C3D">
            <w:pPr>
              <w:ind w:firstLine="0"/>
              <w:jc w:val="right"/>
              <w:rPr>
                <w:rStyle w:val="Tengill"/>
              </w:rPr>
            </w:pPr>
            <w:r>
              <w:rPr>
                <w:rStyle w:val="Tengill"/>
              </w:rPr>
              <w:t>5,7</w:t>
            </w:r>
          </w:p>
        </w:tc>
        <w:tc>
          <w:tcPr>
            <w:tcW w:w="846" w:type="dxa"/>
            <w:tcMar>
              <w:top w:w="57" w:type="dxa"/>
              <w:bottom w:w="57" w:type="dxa"/>
            </w:tcMar>
          </w:tcPr>
          <w:p w14:paraId="29D51B69" w14:textId="77777777" w:rsidR="00D40031" w:rsidRDefault="00D40031" w:rsidP="00847C3D">
            <w:pPr>
              <w:ind w:firstLine="0"/>
              <w:jc w:val="right"/>
              <w:rPr>
                <w:rStyle w:val="Tengill"/>
              </w:rPr>
            </w:pPr>
            <w:r>
              <w:rPr>
                <w:rStyle w:val="Tengill"/>
              </w:rPr>
              <w:t>1,6</w:t>
            </w:r>
          </w:p>
          <w:p w14:paraId="6F894237" w14:textId="77777777" w:rsidR="00D40031" w:rsidRDefault="00D40031" w:rsidP="00847C3D">
            <w:pPr>
              <w:ind w:firstLine="0"/>
              <w:jc w:val="right"/>
              <w:rPr>
                <w:rStyle w:val="Tengill"/>
              </w:rPr>
            </w:pPr>
          </w:p>
          <w:p w14:paraId="7FBE2539" w14:textId="77777777" w:rsidR="00D40031" w:rsidRDefault="00D40031" w:rsidP="00847C3D">
            <w:pPr>
              <w:ind w:firstLine="0"/>
              <w:jc w:val="right"/>
              <w:rPr>
                <w:rStyle w:val="Tengill"/>
              </w:rPr>
            </w:pPr>
            <w:r>
              <w:rPr>
                <w:rStyle w:val="Tengill"/>
              </w:rPr>
              <w:t>1,7</w:t>
            </w:r>
          </w:p>
          <w:p w14:paraId="3CA6F59E" w14:textId="77777777" w:rsidR="00D40031" w:rsidRDefault="00D40031" w:rsidP="00847C3D">
            <w:pPr>
              <w:ind w:firstLine="0"/>
              <w:jc w:val="right"/>
              <w:rPr>
                <w:rStyle w:val="Tengill"/>
              </w:rPr>
            </w:pPr>
          </w:p>
          <w:p w14:paraId="6C297641" w14:textId="77777777" w:rsidR="00D40031" w:rsidRDefault="00D40031" w:rsidP="00847C3D">
            <w:pPr>
              <w:ind w:firstLine="0"/>
              <w:jc w:val="right"/>
              <w:rPr>
                <w:rStyle w:val="Tengill"/>
              </w:rPr>
            </w:pPr>
            <w:r>
              <w:rPr>
                <w:rStyle w:val="Tengill"/>
              </w:rPr>
              <w:t>3,3</w:t>
            </w:r>
          </w:p>
        </w:tc>
        <w:tc>
          <w:tcPr>
            <w:tcW w:w="1040" w:type="dxa"/>
            <w:tcBorders>
              <w:right w:val="nil"/>
            </w:tcBorders>
            <w:tcMar>
              <w:top w:w="57" w:type="dxa"/>
              <w:bottom w:w="57" w:type="dxa"/>
            </w:tcMar>
          </w:tcPr>
          <w:p w14:paraId="0DAA7CE0" w14:textId="77777777" w:rsidR="00D40031" w:rsidRDefault="00D40031" w:rsidP="00847C3D">
            <w:pPr>
              <w:ind w:firstLine="0"/>
              <w:jc w:val="right"/>
              <w:rPr>
                <w:rStyle w:val="Tengill"/>
              </w:rPr>
            </w:pPr>
            <w:r>
              <w:rPr>
                <w:rStyle w:val="Tengill"/>
              </w:rPr>
              <w:t>8,0</w:t>
            </w:r>
          </w:p>
          <w:p w14:paraId="60854828" w14:textId="77777777" w:rsidR="00D40031" w:rsidRDefault="00D40031" w:rsidP="00847C3D">
            <w:pPr>
              <w:ind w:firstLine="0"/>
              <w:jc w:val="right"/>
              <w:rPr>
                <w:rStyle w:val="Tengill"/>
              </w:rPr>
            </w:pPr>
          </w:p>
          <w:p w14:paraId="742E1BDE" w14:textId="77777777" w:rsidR="00D40031" w:rsidRDefault="00D40031" w:rsidP="00847C3D">
            <w:pPr>
              <w:ind w:firstLine="0"/>
              <w:jc w:val="right"/>
              <w:rPr>
                <w:rStyle w:val="Tengill"/>
              </w:rPr>
            </w:pPr>
            <w:r>
              <w:rPr>
                <w:rStyle w:val="Tengill"/>
              </w:rPr>
              <w:t>42,5</w:t>
            </w:r>
          </w:p>
          <w:p w14:paraId="27EFFEB9" w14:textId="77777777" w:rsidR="00D40031" w:rsidRDefault="00D40031" w:rsidP="00847C3D">
            <w:pPr>
              <w:ind w:firstLine="0"/>
              <w:jc w:val="right"/>
              <w:rPr>
                <w:rStyle w:val="Tengill"/>
              </w:rPr>
            </w:pPr>
          </w:p>
          <w:p w14:paraId="3D0BC86A" w14:textId="77777777" w:rsidR="00D40031" w:rsidRDefault="00D40031" w:rsidP="00847C3D">
            <w:pPr>
              <w:ind w:firstLine="0"/>
              <w:jc w:val="right"/>
              <w:rPr>
                <w:rStyle w:val="Tengill"/>
              </w:rPr>
            </w:pPr>
            <w:r>
              <w:rPr>
                <w:rStyle w:val="Tengill"/>
              </w:rPr>
              <w:t>50,5</w:t>
            </w:r>
          </w:p>
        </w:tc>
      </w:tr>
      <w:tr w:rsidR="00D40031" w14:paraId="23630482" w14:textId="77777777" w:rsidTr="00847C3D">
        <w:tc>
          <w:tcPr>
            <w:tcW w:w="1861" w:type="dxa"/>
            <w:gridSpan w:val="2"/>
            <w:tcBorders>
              <w:left w:val="nil"/>
            </w:tcBorders>
            <w:tcMar>
              <w:top w:w="57" w:type="dxa"/>
              <w:bottom w:w="57" w:type="dxa"/>
            </w:tcMar>
          </w:tcPr>
          <w:p w14:paraId="0E43FF92" w14:textId="77777777" w:rsidR="00D40031" w:rsidRDefault="00D40031" w:rsidP="00847C3D">
            <w:pPr>
              <w:ind w:firstLine="0"/>
              <w:jc w:val="left"/>
              <w:rPr>
                <w:rStyle w:val="Tengill"/>
              </w:rPr>
            </w:pPr>
            <w:r>
              <w:rPr>
                <w:rStyle w:val="Tengill"/>
              </w:rPr>
              <w:t>5. Auka þátttöku í alþjóðlegu samstarfi um aðgerðir gegn sýklalyfjaónæmi</w:t>
            </w:r>
          </w:p>
        </w:tc>
        <w:tc>
          <w:tcPr>
            <w:tcW w:w="1791" w:type="dxa"/>
          </w:tcPr>
          <w:p w14:paraId="61B04BD2" w14:textId="77777777" w:rsidR="00D40031" w:rsidRPr="006D129F" w:rsidRDefault="00D40031" w:rsidP="00847C3D">
            <w:pPr>
              <w:ind w:firstLine="0"/>
              <w:rPr>
                <w:rStyle w:val="Tengill"/>
              </w:rPr>
            </w:pPr>
            <w:r w:rsidRPr="006D129F">
              <w:rPr>
                <w:rStyle w:val="Tengill"/>
              </w:rPr>
              <w:t>Grunnkostnaður</w:t>
            </w:r>
          </w:p>
          <w:p w14:paraId="43599194" w14:textId="77777777" w:rsidR="00D40031" w:rsidRPr="006D129F" w:rsidRDefault="00D40031" w:rsidP="00847C3D">
            <w:pPr>
              <w:ind w:firstLine="0"/>
              <w:rPr>
                <w:rStyle w:val="Tengill"/>
              </w:rPr>
            </w:pPr>
          </w:p>
          <w:p w14:paraId="5E32AFE2" w14:textId="77777777" w:rsidR="00D40031" w:rsidRDefault="00D40031" w:rsidP="00847C3D">
            <w:pPr>
              <w:ind w:firstLine="0"/>
              <w:rPr>
                <w:rStyle w:val="Tengill"/>
              </w:rPr>
            </w:pPr>
            <w:r w:rsidRPr="006D129F">
              <w:rPr>
                <w:rStyle w:val="Tengill"/>
              </w:rPr>
              <w:t>Viðbótarkost</w:t>
            </w:r>
          </w:p>
          <w:p w14:paraId="59925820" w14:textId="77777777" w:rsidR="00D40031" w:rsidRPr="006D129F" w:rsidRDefault="00D40031" w:rsidP="00847C3D">
            <w:pPr>
              <w:ind w:firstLine="0"/>
              <w:rPr>
                <w:rStyle w:val="Tengill"/>
              </w:rPr>
            </w:pPr>
            <w:r w:rsidRPr="006D129F">
              <w:rPr>
                <w:rStyle w:val="Tengill"/>
              </w:rPr>
              <w:t>naður</w:t>
            </w:r>
          </w:p>
          <w:p w14:paraId="5E4BBA76" w14:textId="77777777" w:rsidR="00D40031" w:rsidRPr="006D129F" w:rsidRDefault="00D40031" w:rsidP="00847C3D">
            <w:pPr>
              <w:ind w:firstLine="0"/>
              <w:rPr>
                <w:rStyle w:val="Tengill"/>
              </w:rPr>
            </w:pPr>
          </w:p>
          <w:p w14:paraId="1A3D1DDB" w14:textId="77777777" w:rsidR="00D40031" w:rsidRDefault="00D40031" w:rsidP="00847C3D">
            <w:pPr>
              <w:ind w:firstLine="0"/>
              <w:rPr>
                <w:rStyle w:val="Tengill"/>
              </w:rPr>
            </w:pPr>
            <w:r w:rsidRPr="006D129F">
              <w:rPr>
                <w:rStyle w:val="Tengill"/>
              </w:rPr>
              <w:t>Alls</w:t>
            </w:r>
          </w:p>
        </w:tc>
        <w:tc>
          <w:tcPr>
            <w:tcW w:w="845" w:type="dxa"/>
            <w:tcMar>
              <w:top w:w="57" w:type="dxa"/>
              <w:bottom w:w="57" w:type="dxa"/>
            </w:tcMar>
          </w:tcPr>
          <w:p w14:paraId="35AF1DFF" w14:textId="77777777" w:rsidR="00D40031" w:rsidRDefault="00D40031" w:rsidP="00847C3D">
            <w:pPr>
              <w:ind w:firstLine="0"/>
              <w:jc w:val="right"/>
              <w:rPr>
                <w:rStyle w:val="Tengill"/>
              </w:rPr>
            </w:pPr>
            <w:r>
              <w:rPr>
                <w:rStyle w:val="Tengill"/>
              </w:rPr>
              <w:t>7,2</w:t>
            </w:r>
          </w:p>
          <w:p w14:paraId="1A1E8566" w14:textId="77777777" w:rsidR="00D40031" w:rsidRDefault="00D40031" w:rsidP="00847C3D">
            <w:pPr>
              <w:ind w:firstLine="0"/>
              <w:jc w:val="right"/>
              <w:rPr>
                <w:rStyle w:val="Tengill"/>
              </w:rPr>
            </w:pPr>
          </w:p>
          <w:p w14:paraId="1FF051A7" w14:textId="77777777" w:rsidR="00D40031" w:rsidRDefault="00D40031" w:rsidP="00847C3D">
            <w:pPr>
              <w:ind w:firstLine="0"/>
              <w:jc w:val="right"/>
              <w:rPr>
                <w:rStyle w:val="Tengill"/>
              </w:rPr>
            </w:pPr>
            <w:r>
              <w:rPr>
                <w:rStyle w:val="Tengill"/>
              </w:rPr>
              <w:t>20,1</w:t>
            </w:r>
          </w:p>
          <w:p w14:paraId="617944F7" w14:textId="77777777" w:rsidR="00D40031" w:rsidRDefault="00D40031" w:rsidP="00847C3D">
            <w:pPr>
              <w:ind w:firstLine="0"/>
              <w:jc w:val="right"/>
              <w:rPr>
                <w:rStyle w:val="Tengill"/>
              </w:rPr>
            </w:pPr>
          </w:p>
          <w:p w14:paraId="045794A5" w14:textId="77777777" w:rsidR="00D40031" w:rsidRDefault="00D40031" w:rsidP="00847C3D">
            <w:pPr>
              <w:ind w:firstLine="0"/>
              <w:jc w:val="right"/>
              <w:rPr>
                <w:rStyle w:val="Tengill"/>
              </w:rPr>
            </w:pPr>
            <w:r>
              <w:rPr>
                <w:rStyle w:val="Tengill"/>
              </w:rPr>
              <w:t>27,3</w:t>
            </w:r>
          </w:p>
        </w:tc>
        <w:tc>
          <w:tcPr>
            <w:tcW w:w="845" w:type="dxa"/>
            <w:tcMar>
              <w:top w:w="57" w:type="dxa"/>
              <w:bottom w:w="57" w:type="dxa"/>
            </w:tcMar>
          </w:tcPr>
          <w:p w14:paraId="2EEE3A69" w14:textId="77777777" w:rsidR="00D40031" w:rsidRDefault="00D40031" w:rsidP="00847C3D">
            <w:pPr>
              <w:ind w:firstLine="0"/>
              <w:jc w:val="right"/>
              <w:rPr>
                <w:rStyle w:val="Tengill"/>
              </w:rPr>
            </w:pPr>
            <w:r>
              <w:rPr>
                <w:rStyle w:val="Tengill"/>
              </w:rPr>
              <w:t>7,2</w:t>
            </w:r>
          </w:p>
          <w:p w14:paraId="04439807" w14:textId="77777777" w:rsidR="00D40031" w:rsidRDefault="00D40031" w:rsidP="00847C3D">
            <w:pPr>
              <w:ind w:firstLine="0"/>
              <w:jc w:val="right"/>
              <w:rPr>
                <w:rStyle w:val="Tengill"/>
              </w:rPr>
            </w:pPr>
          </w:p>
          <w:p w14:paraId="302BFBC4" w14:textId="77777777" w:rsidR="00D40031" w:rsidRDefault="00D40031" w:rsidP="00847C3D">
            <w:pPr>
              <w:ind w:firstLine="0"/>
              <w:jc w:val="right"/>
              <w:rPr>
                <w:rStyle w:val="Tengill"/>
              </w:rPr>
            </w:pPr>
            <w:r>
              <w:rPr>
                <w:rStyle w:val="Tengill"/>
              </w:rPr>
              <w:t>20,1</w:t>
            </w:r>
          </w:p>
          <w:p w14:paraId="22666306" w14:textId="77777777" w:rsidR="00D40031" w:rsidRDefault="00D40031" w:rsidP="00847C3D">
            <w:pPr>
              <w:ind w:firstLine="0"/>
              <w:jc w:val="right"/>
              <w:rPr>
                <w:rStyle w:val="Tengill"/>
              </w:rPr>
            </w:pPr>
          </w:p>
          <w:p w14:paraId="4CF1A855" w14:textId="77777777" w:rsidR="00D40031" w:rsidRDefault="00D40031" w:rsidP="00847C3D">
            <w:pPr>
              <w:ind w:firstLine="0"/>
              <w:jc w:val="right"/>
              <w:rPr>
                <w:rStyle w:val="Tengill"/>
              </w:rPr>
            </w:pPr>
            <w:r>
              <w:rPr>
                <w:rStyle w:val="Tengill"/>
              </w:rPr>
              <w:t>27,3</w:t>
            </w:r>
          </w:p>
        </w:tc>
        <w:tc>
          <w:tcPr>
            <w:tcW w:w="845" w:type="dxa"/>
            <w:tcMar>
              <w:top w:w="57" w:type="dxa"/>
              <w:bottom w:w="57" w:type="dxa"/>
            </w:tcMar>
          </w:tcPr>
          <w:p w14:paraId="6DD3A5D5" w14:textId="77777777" w:rsidR="00D40031" w:rsidRDefault="00D40031" w:rsidP="00847C3D">
            <w:pPr>
              <w:ind w:firstLine="0"/>
              <w:jc w:val="right"/>
              <w:rPr>
                <w:rStyle w:val="Tengill"/>
              </w:rPr>
            </w:pPr>
            <w:r>
              <w:rPr>
                <w:rStyle w:val="Tengill"/>
              </w:rPr>
              <w:t>7,2</w:t>
            </w:r>
          </w:p>
          <w:p w14:paraId="6B8DDE3A" w14:textId="77777777" w:rsidR="00D40031" w:rsidRDefault="00D40031" w:rsidP="00847C3D">
            <w:pPr>
              <w:ind w:firstLine="0"/>
              <w:jc w:val="right"/>
              <w:rPr>
                <w:rStyle w:val="Tengill"/>
              </w:rPr>
            </w:pPr>
          </w:p>
          <w:p w14:paraId="3C934F08" w14:textId="77777777" w:rsidR="00D40031" w:rsidRDefault="00D40031" w:rsidP="00847C3D">
            <w:pPr>
              <w:ind w:firstLine="0"/>
              <w:jc w:val="right"/>
              <w:rPr>
                <w:rStyle w:val="Tengill"/>
              </w:rPr>
            </w:pPr>
            <w:r>
              <w:rPr>
                <w:rStyle w:val="Tengill"/>
              </w:rPr>
              <w:t>20,1</w:t>
            </w:r>
          </w:p>
          <w:p w14:paraId="7A4BB866" w14:textId="77777777" w:rsidR="00D40031" w:rsidRDefault="00D40031" w:rsidP="00847C3D">
            <w:pPr>
              <w:ind w:firstLine="0"/>
              <w:jc w:val="right"/>
              <w:rPr>
                <w:rStyle w:val="Tengill"/>
              </w:rPr>
            </w:pPr>
          </w:p>
          <w:p w14:paraId="45EE20BC" w14:textId="77777777" w:rsidR="00D40031" w:rsidRDefault="00D40031" w:rsidP="00847C3D">
            <w:pPr>
              <w:ind w:firstLine="0"/>
              <w:jc w:val="right"/>
              <w:rPr>
                <w:rStyle w:val="Tengill"/>
              </w:rPr>
            </w:pPr>
            <w:r>
              <w:rPr>
                <w:rStyle w:val="Tengill"/>
              </w:rPr>
              <w:t>27,3</w:t>
            </w:r>
          </w:p>
        </w:tc>
        <w:tc>
          <w:tcPr>
            <w:tcW w:w="845" w:type="dxa"/>
            <w:tcMar>
              <w:top w:w="57" w:type="dxa"/>
              <w:bottom w:w="57" w:type="dxa"/>
            </w:tcMar>
          </w:tcPr>
          <w:p w14:paraId="5B6A938D" w14:textId="77777777" w:rsidR="00D40031" w:rsidRDefault="00D40031" w:rsidP="00847C3D">
            <w:pPr>
              <w:ind w:firstLine="0"/>
              <w:jc w:val="right"/>
              <w:rPr>
                <w:rStyle w:val="Tengill"/>
              </w:rPr>
            </w:pPr>
            <w:r>
              <w:rPr>
                <w:rStyle w:val="Tengill"/>
              </w:rPr>
              <w:t>7,2</w:t>
            </w:r>
          </w:p>
          <w:p w14:paraId="22AB7E76" w14:textId="77777777" w:rsidR="00D40031" w:rsidRDefault="00D40031" w:rsidP="00847C3D">
            <w:pPr>
              <w:ind w:firstLine="0"/>
              <w:jc w:val="right"/>
              <w:rPr>
                <w:rStyle w:val="Tengill"/>
              </w:rPr>
            </w:pPr>
          </w:p>
          <w:p w14:paraId="281F4079" w14:textId="77777777" w:rsidR="00D40031" w:rsidRDefault="00D40031" w:rsidP="00847C3D">
            <w:pPr>
              <w:ind w:firstLine="0"/>
              <w:jc w:val="right"/>
              <w:rPr>
                <w:rStyle w:val="Tengill"/>
              </w:rPr>
            </w:pPr>
            <w:r>
              <w:rPr>
                <w:rStyle w:val="Tengill"/>
              </w:rPr>
              <w:t>20,1</w:t>
            </w:r>
          </w:p>
          <w:p w14:paraId="51F91FFF" w14:textId="77777777" w:rsidR="00D40031" w:rsidRDefault="00D40031" w:rsidP="00847C3D">
            <w:pPr>
              <w:ind w:firstLine="0"/>
              <w:jc w:val="right"/>
              <w:rPr>
                <w:rStyle w:val="Tengill"/>
              </w:rPr>
            </w:pPr>
          </w:p>
          <w:p w14:paraId="5D4D62C2" w14:textId="77777777" w:rsidR="00D40031" w:rsidRDefault="00D40031" w:rsidP="00847C3D">
            <w:pPr>
              <w:ind w:firstLine="0"/>
              <w:jc w:val="right"/>
              <w:rPr>
                <w:rStyle w:val="Tengill"/>
              </w:rPr>
            </w:pPr>
            <w:r>
              <w:rPr>
                <w:rStyle w:val="Tengill"/>
              </w:rPr>
              <w:t>27,3</w:t>
            </w:r>
          </w:p>
        </w:tc>
        <w:tc>
          <w:tcPr>
            <w:tcW w:w="846" w:type="dxa"/>
            <w:tcMar>
              <w:top w:w="57" w:type="dxa"/>
              <w:bottom w:w="57" w:type="dxa"/>
            </w:tcMar>
          </w:tcPr>
          <w:p w14:paraId="7CD2A69B" w14:textId="77777777" w:rsidR="00D40031" w:rsidRDefault="00D40031" w:rsidP="00847C3D">
            <w:pPr>
              <w:ind w:firstLine="0"/>
              <w:jc w:val="right"/>
              <w:rPr>
                <w:rStyle w:val="Tengill"/>
              </w:rPr>
            </w:pPr>
            <w:r>
              <w:rPr>
                <w:rStyle w:val="Tengill"/>
              </w:rPr>
              <w:t>7,2</w:t>
            </w:r>
          </w:p>
          <w:p w14:paraId="384E8B5C" w14:textId="77777777" w:rsidR="00D40031" w:rsidRDefault="00D40031" w:rsidP="00847C3D">
            <w:pPr>
              <w:ind w:firstLine="0"/>
              <w:jc w:val="right"/>
              <w:rPr>
                <w:rStyle w:val="Tengill"/>
              </w:rPr>
            </w:pPr>
          </w:p>
          <w:p w14:paraId="3845166C" w14:textId="77777777" w:rsidR="00D40031" w:rsidRDefault="00D40031" w:rsidP="00847C3D">
            <w:pPr>
              <w:ind w:firstLine="0"/>
              <w:jc w:val="right"/>
              <w:rPr>
                <w:rStyle w:val="Tengill"/>
              </w:rPr>
            </w:pPr>
            <w:r>
              <w:rPr>
                <w:rStyle w:val="Tengill"/>
              </w:rPr>
              <w:t>20,1</w:t>
            </w:r>
          </w:p>
          <w:p w14:paraId="4D7A0A72" w14:textId="77777777" w:rsidR="00D40031" w:rsidRDefault="00D40031" w:rsidP="00847C3D">
            <w:pPr>
              <w:ind w:firstLine="0"/>
              <w:jc w:val="right"/>
              <w:rPr>
                <w:rStyle w:val="Tengill"/>
              </w:rPr>
            </w:pPr>
          </w:p>
          <w:p w14:paraId="5DEF8FC1" w14:textId="77777777" w:rsidR="00D40031" w:rsidRDefault="00D40031" w:rsidP="00847C3D">
            <w:pPr>
              <w:ind w:firstLine="0"/>
              <w:jc w:val="right"/>
              <w:rPr>
                <w:rStyle w:val="Tengill"/>
              </w:rPr>
            </w:pPr>
            <w:r>
              <w:rPr>
                <w:rStyle w:val="Tengill"/>
              </w:rPr>
              <w:t>27,3</w:t>
            </w:r>
          </w:p>
        </w:tc>
        <w:tc>
          <w:tcPr>
            <w:tcW w:w="1040" w:type="dxa"/>
            <w:tcBorders>
              <w:right w:val="nil"/>
            </w:tcBorders>
            <w:tcMar>
              <w:top w:w="57" w:type="dxa"/>
              <w:bottom w:w="57" w:type="dxa"/>
            </w:tcMar>
          </w:tcPr>
          <w:p w14:paraId="4A6ABEDF" w14:textId="77777777" w:rsidR="00D40031" w:rsidRDefault="00D40031" w:rsidP="00847C3D">
            <w:pPr>
              <w:ind w:firstLine="0"/>
              <w:jc w:val="right"/>
              <w:rPr>
                <w:rStyle w:val="Tengill"/>
              </w:rPr>
            </w:pPr>
            <w:r>
              <w:rPr>
                <w:rStyle w:val="Tengill"/>
              </w:rPr>
              <w:t>36,0</w:t>
            </w:r>
          </w:p>
          <w:p w14:paraId="7C295018" w14:textId="77777777" w:rsidR="00D40031" w:rsidRDefault="00D40031" w:rsidP="00847C3D">
            <w:pPr>
              <w:ind w:firstLine="0"/>
              <w:jc w:val="right"/>
              <w:rPr>
                <w:rStyle w:val="Tengill"/>
              </w:rPr>
            </w:pPr>
          </w:p>
          <w:p w14:paraId="57F295D0" w14:textId="77777777" w:rsidR="00D40031" w:rsidRDefault="00D40031" w:rsidP="00847C3D">
            <w:pPr>
              <w:ind w:firstLine="0"/>
              <w:jc w:val="right"/>
              <w:rPr>
                <w:rStyle w:val="Tengill"/>
              </w:rPr>
            </w:pPr>
            <w:r>
              <w:rPr>
                <w:rStyle w:val="Tengill"/>
              </w:rPr>
              <w:t>100,5</w:t>
            </w:r>
          </w:p>
          <w:p w14:paraId="106A3863" w14:textId="77777777" w:rsidR="00D40031" w:rsidRDefault="00D40031" w:rsidP="00847C3D">
            <w:pPr>
              <w:ind w:firstLine="0"/>
              <w:jc w:val="right"/>
              <w:rPr>
                <w:rStyle w:val="Tengill"/>
              </w:rPr>
            </w:pPr>
          </w:p>
          <w:p w14:paraId="5601F00D" w14:textId="77777777" w:rsidR="00D40031" w:rsidRDefault="00D40031" w:rsidP="00847C3D">
            <w:pPr>
              <w:ind w:firstLine="0"/>
              <w:jc w:val="right"/>
              <w:rPr>
                <w:rStyle w:val="Tengill"/>
              </w:rPr>
            </w:pPr>
            <w:r>
              <w:rPr>
                <w:rStyle w:val="Tengill"/>
              </w:rPr>
              <w:t>136,5</w:t>
            </w:r>
          </w:p>
        </w:tc>
      </w:tr>
      <w:tr w:rsidR="00D40031" w14:paraId="79242904" w14:textId="77777777" w:rsidTr="00847C3D">
        <w:tc>
          <w:tcPr>
            <w:tcW w:w="1861" w:type="dxa"/>
            <w:gridSpan w:val="2"/>
            <w:tcBorders>
              <w:left w:val="nil"/>
            </w:tcBorders>
            <w:tcMar>
              <w:top w:w="57" w:type="dxa"/>
              <w:bottom w:w="57" w:type="dxa"/>
            </w:tcMar>
          </w:tcPr>
          <w:p w14:paraId="28B0A447" w14:textId="77777777" w:rsidR="00D40031" w:rsidRDefault="00D40031" w:rsidP="00847C3D">
            <w:pPr>
              <w:ind w:firstLine="0"/>
              <w:jc w:val="left"/>
              <w:rPr>
                <w:rStyle w:val="Tengill"/>
              </w:rPr>
            </w:pPr>
            <w:r>
              <w:rPr>
                <w:rStyle w:val="Tengill"/>
              </w:rPr>
              <w:t>6. Tryggja samhæfingu og stjórn aðgerða gegn sýklalyfjaónæmi til framtíðar</w:t>
            </w:r>
          </w:p>
        </w:tc>
        <w:tc>
          <w:tcPr>
            <w:tcW w:w="1791" w:type="dxa"/>
          </w:tcPr>
          <w:p w14:paraId="1B9B0259" w14:textId="77777777" w:rsidR="00D40031" w:rsidRPr="006D129F" w:rsidRDefault="00D40031" w:rsidP="00847C3D">
            <w:pPr>
              <w:ind w:firstLine="0"/>
              <w:rPr>
                <w:rStyle w:val="Tengill"/>
              </w:rPr>
            </w:pPr>
            <w:r w:rsidRPr="006D129F">
              <w:rPr>
                <w:rStyle w:val="Tengill"/>
              </w:rPr>
              <w:t>Grunnkostnaður</w:t>
            </w:r>
          </w:p>
          <w:p w14:paraId="24B5DFE8" w14:textId="77777777" w:rsidR="00D40031" w:rsidRPr="006D129F" w:rsidRDefault="00D40031" w:rsidP="00847C3D">
            <w:pPr>
              <w:ind w:firstLine="0"/>
              <w:rPr>
                <w:rStyle w:val="Tengill"/>
              </w:rPr>
            </w:pPr>
          </w:p>
          <w:p w14:paraId="705B9D5F" w14:textId="77777777" w:rsidR="00D40031" w:rsidRPr="006D129F" w:rsidRDefault="00D40031" w:rsidP="00847C3D">
            <w:pPr>
              <w:ind w:firstLine="0"/>
              <w:rPr>
                <w:rStyle w:val="Tengill"/>
              </w:rPr>
            </w:pPr>
            <w:r w:rsidRPr="006D129F">
              <w:rPr>
                <w:rStyle w:val="Tengill"/>
              </w:rPr>
              <w:t>Viðbótarkostnaður</w:t>
            </w:r>
          </w:p>
          <w:p w14:paraId="05B13A67" w14:textId="77777777" w:rsidR="00D40031" w:rsidRPr="006D129F" w:rsidRDefault="00D40031" w:rsidP="00847C3D">
            <w:pPr>
              <w:ind w:firstLine="0"/>
              <w:rPr>
                <w:rStyle w:val="Tengill"/>
              </w:rPr>
            </w:pPr>
          </w:p>
          <w:p w14:paraId="7B1A42AD" w14:textId="77777777" w:rsidR="00D40031" w:rsidRDefault="00D40031" w:rsidP="00847C3D">
            <w:pPr>
              <w:ind w:firstLine="0"/>
              <w:rPr>
                <w:rStyle w:val="Tengill"/>
              </w:rPr>
            </w:pPr>
            <w:r w:rsidRPr="006D129F">
              <w:rPr>
                <w:rStyle w:val="Tengill"/>
              </w:rPr>
              <w:t>Alls</w:t>
            </w:r>
          </w:p>
        </w:tc>
        <w:tc>
          <w:tcPr>
            <w:tcW w:w="845" w:type="dxa"/>
            <w:tcMar>
              <w:top w:w="57" w:type="dxa"/>
              <w:bottom w:w="57" w:type="dxa"/>
            </w:tcMar>
          </w:tcPr>
          <w:p w14:paraId="397CEF11" w14:textId="77777777" w:rsidR="00D40031" w:rsidRDefault="00D40031" w:rsidP="00847C3D">
            <w:pPr>
              <w:ind w:firstLine="0"/>
              <w:jc w:val="right"/>
              <w:rPr>
                <w:rStyle w:val="Tengill"/>
              </w:rPr>
            </w:pPr>
            <w:r>
              <w:rPr>
                <w:rStyle w:val="Tengill"/>
              </w:rPr>
              <w:t>0</w:t>
            </w:r>
          </w:p>
          <w:p w14:paraId="08EC41B6" w14:textId="77777777" w:rsidR="00D40031" w:rsidRDefault="00D40031" w:rsidP="00847C3D">
            <w:pPr>
              <w:ind w:firstLine="0"/>
              <w:jc w:val="right"/>
              <w:rPr>
                <w:rStyle w:val="Tengill"/>
              </w:rPr>
            </w:pPr>
          </w:p>
          <w:p w14:paraId="6AA1911F" w14:textId="77777777" w:rsidR="00D40031" w:rsidRDefault="00D40031" w:rsidP="00847C3D">
            <w:pPr>
              <w:ind w:firstLine="0"/>
              <w:jc w:val="right"/>
              <w:rPr>
                <w:rStyle w:val="Tengill"/>
              </w:rPr>
            </w:pPr>
            <w:r>
              <w:rPr>
                <w:rStyle w:val="Tengill"/>
              </w:rPr>
              <w:t>5,4</w:t>
            </w:r>
          </w:p>
          <w:p w14:paraId="53494055" w14:textId="77777777" w:rsidR="00D40031" w:rsidRDefault="00D40031" w:rsidP="00847C3D">
            <w:pPr>
              <w:ind w:firstLine="0"/>
              <w:jc w:val="right"/>
              <w:rPr>
                <w:rStyle w:val="Tengill"/>
              </w:rPr>
            </w:pPr>
          </w:p>
          <w:p w14:paraId="3C35D033" w14:textId="77777777" w:rsidR="00D40031" w:rsidRDefault="00D40031" w:rsidP="00847C3D">
            <w:pPr>
              <w:ind w:firstLine="0"/>
              <w:jc w:val="right"/>
              <w:rPr>
                <w:rStyle w:val="Tengill"/>
              </w:rPr>
            </w:pPr>
            <w:r>
              <w:rPr>
                <w:rStyle w:val="Tengill"/>
              </w:rPr>
              <w:t>5,4</w:t>
            </w:r>
          </w:p>
        </w:tc>
        <w:tc>
          <w:tcPr>
            <w:tcW w:w="845" w:type="dxa"/>
            <w:tcMar>
              <w:top w:w="57" w:type="dxa"/>
              <w:bottom w:w="57" w:type="dxa"/>
            </w:tcMar>
          </w:tcPr>
          <w:p w14:paraId="77810DC4" w14:textId="77777777" w:rsidR="00D40031" w:rsidRDefault="00D40031" w:rsidP="00847C3D">
            <w:pPr>
              <w:ind w:firstLine="0"/>
              <w:jc w:val="right"/>
              <w:rPr>
                <w:rStyle w:val="Tengill"/>
              </w:rPr>
            </w:pPr>
            <w:r>
              <w:rPr>
                <w:rStyle w:val="Tengill"/>
              </w:rPr>
              <w:t>0</w:t>
            </w:r>
          </w:p>
          <w:p w14:paraId="2CF9FEDB" w14:textId="77777777" w:rsidR="00D40031" w:rsidRDefault="00D40031" w:rsidP="00847C3D">
            <w:pPr>
              <w:ind w:firstLine="0"/>
              <w:jc w:val="right"/>
              <w:rPr>
                <w:rStyle w:val="Tengill"/>
              </w:rPr>
            </w:pPr>
          </w:p>
          <w:p w14:paraId="0DB2EBB5" w14:textId="77777777" w:rsidR="00D40031" w:rsidRDefault="00D40031" w:rsidP="00847C3D">
            <w:pPr>
              <w:ind w:firstLine="0"/>
              <w:jc w:val="right"/>
              <w:rPr>
                <w:rStyle w:val="Tengill"/>
              </w:rPr>
            </w:pPr>
            <w:r>
              <w:rPr>
                <w:rStyle w:val="Tengill"/>
              </w:rPr>
              <w:t>5,4</w:t>
            </w:r>
          </w:p>
          <w:p w14:paraId="2409318F" w14:textId="77777777" w:rsidR="00D40031" w:rsidRDefault="00D40031" w:rsidP="00847C3D">
            <w:pPr>
              <w:ind w:firstLine="0"/>
              <w:jc w:val="right"/>
              <w:rPr>
                <w:rStyle w:val="Tengill"/>
              </w:rPr>
            </w:pPr>
          </w:p>
          <w:p w14:paraId="0FBEF446" w14:textId="77777777" w:rsidR="00D40031" w:rsidRDefault="00D40031" w:rsidP="00847C3D">
            <w:pPr>
              <w:ind w:firstLine="0"/>
              <w:jc w:val="right"/>
              <w:rPr>
                <w:rStyle w:val="Tengill"/>
              </w:rPr>
            </w:pPr>
            <w:r>
              <w:rPr>
                <w:rStyle w:val="Tengill"/>
              </w:rPr>
              <w:t>5,4</w:t>
            </w:r>
          </w:p>
        </w:tc>
        <w:tc>
          <w:tcPr>
            <w:tcW w:w="845" w:type="dxa"/>
            <w:tcMar>
              <w:top w:w="57" w:type="dxa"/>
              <w:bottom w:w="57" w:type="dxa"/>
            </w:tcMar>
          </w:tcPr>
          <w:p w14:paraId="2BADD32F" w14:textId="77777777" w:rsidR="00D40031" w:rsidRDefault="00D40031" w:rsidP="00847C3D">
            <w:pPr>
              <w:ind w:firstLine="0"/>
              <w:jc w:val="right"/>
              <w:rPr>
                <w:rStyle w:val="Tengill"/>
              </w:rPr>
            </w:pPr>
            <w:r>
              <w:rPr>
                <w:rStyle w:val="Tengill"/>
              </w:rPr>
              <w:t>0</w:t>
            </w:r>
          </w:p>
          <w:p w14:paraId="468B7CED" w14:textId="77777777" w:rsidR="00D40031" w:rsidRDefault="00D40031" w:rsidP="00847C3D">
            <w:pPr>
              <w:ind w:firstLine="0"/>
              <w:jc w:val="right"/>
              <w:rPr>
                <w:rStyle w:val="Tengill"/>
              </w:rPr>
            </w:pPr>
          </w:p>
          <w:p w14:paraId="70447B8B" w14:textId="77777777" w:rsidR="00D40031" w:rsidRDefault="00D40031" w:rsidP="00847C3D">
            <w:pPr>
              <w:ind w:firstLine="0"/>
              <w:jc w:val="right"/>
              <w:rPr>
                <w:rStyle w:val="Tengill"/>
              </w:rPr>
            </w:pPr>
            <w:r>
              <w:rPr>
                <w:rStyle w:val="Tengill"/>
              </w:rPr>
              <w:t>5,4</w:t>
            </w:r>
          </w:p>
          <w:p w14:paraId="0E446F79" w14:textId="77777777" w:rsidR="00D40031" w:rsidRDefault="00D40031" w:rsidP="00847C3D">
            <w:pPr>
              <w:ind w:firstLine="0"/>
              <w:jc w:val="right"/>
              <w:rPr>
                <w:rStyle w:val="Tengill"/>
              </w:rPr>
            </w:pPr>
          </w:p>
          <w:p w14:paraId="72751EB0" w14:textId="77777777" w:rsidR="00D40031" w:rsidRDefault="00D40031" w:rsidP="00847C3D">
            <w:pPr>
              <w:ind w:firstLine="0"/>
              <w:jc w:val="right"/>
              <w:rPr>
                <w:rStyle w:val="Tengill"/>
              </w:rPr>
            </w:pPr>
            <w:r>
              <w:rPr>
                <w:rStyle w:val="Tengill"/>
              </w:rPr>
              <w:t>5,4</w:t>
            </w:r>
          </w:p>
        </w:tc>
        <w:tc>
          <w:tcPr>
            <w:tcW w:w="845" w:type="dxa"/>
            <w:tcMar>
              <w:top w:w="57" w:type="dxa"/>
              <w:bottom w:w="57" w:type="dxa"/>
            </w:tcMar>
          </w:tcPr>
          <w:p w14:paraId="12274CD0" w14:textId="77777777" w:rsidR="00D40031" w:rsidRDefault="00D40031" w:rsidP="00847C3D">
            <w:pPr>
              <w:ind w:firstLine="0"/>
              <w:jc w:val="right"/>
              <w:rPr>
                <w:rStyle w:val="Tengill"/>
              </w:rPr>
            </w:pPr>
            <w:r>
              <w:rPr>
                <w:rStyle w:val="Tengill"/>
              </w:rPr>
              <w:t>0</w:t>
            </w:r>
          </w:p>
          <w:p w14:paraId="08BA793E" w14:textId="77777777" w:rsidR="00D40031" w:rsidRDefault="00D40031" w:rsidP="00847C3D">
            <w:pPr>
              <w:ind w:firstLine="0"/>
              <w:jc w:val="right"/>
              <w:rPr>
                <w:rStyle w:val="Tengill"/>
              </w:rPr>
            </w:pPr>
          </w:p>
          <w:p w14:paraId="74CA0368" w14:textId="77777777" w:rsidR="00D40031" w:rsidRDefault="00D40031" w:rsidP="00847C3D">
            <w:pPr>
              <w:ind w:firstLine="0"/>
              <w:jc w:val="right"/>
              <w:rPr>
                <w:rStyle w:val="Tengill"/>
              </w:rPr>
            </w:pPr>
            <w:r>
              <w:rPr>
                <w:rStyle w:val="Tengill"/>
              </w:rPr>
              <w:t>5,4</w:t>
            </w:r>
          </w:p>
          <w:p w14:paraId="04F19C5A" w14:textId="77777777" w:rsidR="00D40031" w:rsidRDefault="00D40031" w:rsidP="00847C3D">
            <w:pPr>
              <w:ind w:firstLine="0"/>
              <w:jc w:val="right"/>
              <w:rPr>
                <w:rStyle w:val="Tengill"/>
              </w:rPr>
            </w:pPr>
          </w:p>
          <w:p w14:paraId="4407EE01" w14:textId="77777777" w:rsidR="00D40031" w:rsidRDefault="00D40031" w:rsidP="00847C3D">
            <w:pPr>
              <w:ind w:firstLine="0"/>
              <w:jc w:val="right"/>
              <w:rPr>
                <w:rStyle w:val="Tengill"/>
              </w:rPr>
            </w:pPr>
            <w:r>
              <w:rPr>
                <w:rStyle w:val="Tengill"/>
              </w:rPr>
              <w:t>5,4</w:t>
            </w:r>
          </w:p>
        </w:tc>
        <w:tc>
          <w:tcPr>
            <w:tcW w:w="846" w:type="dxa"/>
            <w:tcMar>
              <w:top w:w="57" w:type="dxa"/>
              <w:bottom w:w="57" w:type="dxa"/>
            </w:tcMar>
          </w:tcPr>
          <w:p w14:paraId="7F4276E0" w14:textId="77777777" w:rsidR="00D40031" w:rsidRDefault="00D40031" w:rsidP="00847C3D">
            <w:pPr>
              <w:ind w:firstLine="0"/>
              <w:jc w:val="right"/>
              <w:rPr>
                <w:rStyle w:val="Tengill"/>
              </w:rPr>
            </w:pPr>
            <w:r>
              <w:rPr>
                <w:rStyle w:val="Tengill"/>
              </w:rPr>
              <w:t>0</w:t>
            </w:r>
          </w:p>
          <w:p w14:paraId="33D75966" w14:textId="77777777" w:rsidR="00D40031" w:rsidRDefault="00D40031" w:rsidP="00847C3D">
            <w:pPr>
              <w:ind w:firstLine="0"/>
              <w:jc w:val="right"/>
              <w:rPr>
                <w:rStyle w:val="Tengill"/>
              </w:rPr>
            </w:pPr>
          </w:p>
          <w:p w14:paraId="678D78CA" w14:textId="77777777" w:rsidR="00D40031" w:rsidRDefault="00D40031" w:rsidP="00847C3D">
            <w:pPr>
              <w:ind w:firstLine="0"/>
              <w:jc w:val="right"/>
              <w:rPr>
                <w:rStyle w:val="Tengill"/>
              </w:rPr>
            </w:pPr>
            <w:r>
              <w:rPr>
                <w:rStyle w:val="Tengill"/>
              </w:rPr>
              <w:t>5,4</w:t>
            </w:r>
          </w:p>
          <w:p w14:paraId="395FDC50" w14:textId="77777777" w:rsidR="00D40031" w:rsidRDefault="00D40031" w:rsidP="00847C3D">
            <w:pPr>
              <w:ind w:firstLine="0"/>
              <w:jc w:val="right"/>
              <w:rPr>
                <w:rStyle w:val="Tengill"/>
              </w:rPr>
            </w:pPr>
          </w:p>
          <w:p w14:paraId="2D93B75D" w14:textId="77777777" w:rsidR="00D40031" w:rsidRDefault="00D40031" w:rsidP="00847C3D">
            <w:pPr>
              <w:ind w:firstLine="0"/>
              <w:jc w:val="right"/>
              <w:rPr>
                <w:rStyle w:val="Tengill"/>
              </w:rPr>
            </w:pPr>
            <w:r>
              <w:rPr>
                <w:rStyle w:val="Tengill"/>
              </w:rPr>
              <w:t>5,4</w:t>
            </w:r>
          </w:p>
        </w:tc>
        <w:tc>
          <w:tcPr>
            <w:tcW w:w="1040" w:type="dxa"/>
            <w:tcBorders>
              <w:right w:val="nil"/>
            </w:tcBorders>
            <w:tcMar>
              <w:top w:w="57" w:type="dxa"/>
              <w:bottom w:w="57" w:type="dxa"/>
            </w:tcMar>
          </w:tcPr>
          <w:p w14:paraId="16EE3D82" w14:textId="77777777" w:rsidR="00D40031" w:rsidRDefault="00D40031" w:rsidP="00847C3D">
            <w:pPr>
              <w:ind w:firstLine="0"/>
              <w:jc w:val="right"/>
              <w:rPr>
                <w:rStyle w:val="Tengill"/>
              </w:rPr>
            </w:pPr>
            <w:r>
              <w:rPr>
                <w:rStyle w:val="Tengill"/>
              </w:rPr>
              <w:t>0</w:t>
            </w:r>
          </w:p>
          <w:p w14:paraId="4CBA6C15" w14:textId="77777777" w:rsidR="00D40031" w:rsidRDefault="00D40031" w:rsidP="00847C3D">
            <w:pPr>
              <w:ind w:firstLine="0"/>
              <w:jc w:val="right"/>
              <w:rPr>
                <w:rStyle w:val="Tengill"/>
              </w:rPr>
            </w:pPr>
          </w:p>
          <w:p w14:paraId="26D142E3" w14:textId="77777777" w:rsidR="00D40031" w:rsidRDefault="00D40031" w:rsidP="00847C3D">
            <w:pPr>
              <w:ind w:firstLine="0"/>
              <w:jc w:val="right"/>
              <w:rPr>
                <w:rStyle w:val="Tengill"/>
              </w:rPr>
            </w:pPr>
            <w:r>
              <w:rPr>
                <w:rStyle w:val="Tengill"/>
              </w:rPr>
              <w:t>27,0</w:t>
            </w:r>
          </w:p>
          <w:p w14:paraId="44FFCF76" w14:textId="77777777" w:rsidR="00D40031" w:rsidRDefault="00D40031" w:rsidP="00847C3D">
            <w:pPr>
              <w:ind w:firstLine="0"/>
              <w:jc w:val="right"/>
              <w:rPr>
                <w:rStyle w:val="Tengill"/>
              </w:rPr>
            </w:pPr>
          </w:p>
          <w:p w14:paraId="24C6C945" w14:textId="77777777" w:rsidR="00D40031" w:rsidRDefault="00D40031" w:rsidP="00847C3D">
            <w:pPr>
              <w:ind w:firstLine="0"/>
              <w:jc w:val="right"/>
              <w:rPr>
                <w:rStyle w:val="Tengill"/>
              </w:rPr>
            </w:pPr>
            <w:r>
              <w:rPr>
                <w:rStyle w:val="Tengill"/>
              </w:rPr>
              <w:t>27,0</w:t>
            </w:r>
          </w:p>
        </w:tc>
      </w:tr>
      <w:tr w:rsidR="00D40031" w14:paraId="2D58A9D7" w14:textId="77777777" w:rsidTr="00847C3D">
        <w:tc>
          <w:tcPr>
            <w:tcW w:w="1861" w:type="dxa"/>
            <w:gridSpan w:val="2"/>
            <w:tcBorders>
              <w:left w:val="nil"/>
            </w:tcBorders>
            <w:tcMar>
              <w:top w:w="57" w:type="dxa"/>
              <w:bottom w:w="57" w:type="dxa"/>
            </w:tcMar>
            <w:vAlign w:val="center"/>
          </w:tcPr>
          <w:p w14:paraId="7B466D32" w14:textId="77777777" w:rsidR="00D40031" w:rsidRPr="00752C76" w:rsidRDefault="00D40031" w:rsidP="00847C3D">
            <w:pPr>
              <w:ind w:firstLine="0"/>
              <w:jc w:val="left"/>
              <w:rPr>
                <w:rStyle w:val="Tengill"/>
                <w:b/>
                <w:bCs/>
              </w:rPr>
            </w:pPr>
            <w:r>
              <w:rPr>
                <w:rStyle w:val="Tengill"/>
                <w:b/>
                <w:bCs/>
              </w:rPr>
              <w:t>Samtals</w:t>
            </w:r>
          </w:p>
        </w:tc>
        <w:tc>
          <w:tcPr>
            <w:tcW w:w="1791" w:type="dxa"/>
          </w:tcPr>
          <w:p w14:paraId="57D802FC" w14:textId="77777777" w:rsidR="00D40031" w:rsidRPr="006D129F" w:rsidRDefault="00D40031" w:rsidP="00847C3D">
            <w:pPr>
              <w:ind w:firstLine="0"/>
              <w:rPr>
                <w:rStyle w:val="Tengill"/>
              </w:rPr>
            </w:pPr>
            <w:r w:rsidRPr="006D129F">
              <w:rPr>
                <w:rStyle w:val="Tengill"/>
              </w:rPr>
              <w:t>Grunnkostnaður</w:t>
            </w:r>
          </w:p>
          <w:p w14:paraId="14F76613" w14:textId="77777777" w:rsidR="00D40031" w:rsidRPr="006D129F" w:rsidRDefault="00D40031" w:rsidP="00847C3D">
            <w:pPr>
              <w:ind w:firstLine="0"/>
              <w:rPr>
                <w:rStyle w:val="Tengill"/>
              </w:rPr>
            </w:pPr>
          </w:p>
          <w:p w14:paraId="7213A949" w14:textId="77777777" w:rsidR="00D40031" w:rsidRPr="006D129F" w:rsidRDefault="00D40031" w:rsidP="00847C3D">
            <w:pPr>
              <w:ind w:firstLine="0"/>
              <w:rPr>
                <w:rStyle w:val="Tengill"/>
              </w:rPr>
            </w:pPr>
            <w:r w:rsidRPr="006D129F">
              <w:rPr>
                <w:rStyle w:val="Tengill"/>
              </w:rPr>
              <w:lastRenderedPageBreak/>
              <w:t>Viðbótarkostnaður</w:t>
            </w:r>
          </w:p>
          <w:p w14:paraId="7752532C" w14:textId="77777777" w:rsidR="00D40031" w:rsidRPr="006D129F" w:rsidRDefault="00D40031" w:rsidP="00847C3D">
            <w:pPr>
              <w:ind w:firstLine="0"/>
              <w:rPr>
                <w:rStyle w:val="Tengill"/>
              </w:rPr>
            </w:pPr>
          </w:p>
          <w:p w14:paraId="2C4DB05A" w14:textId="77777777" w:rsidR="00D40031" w:rsidRDefault="00D40031" w:rsidP="00847C3D">
            <w:pPr>
              <w:ind w:firstLine="0"/>
              <w:rPr>
                <w:rStyle w:val="Tengill"/>
              </w:rPr>
            </w:pPr>
            <w:r w:rsidRPr="006D129F">
              <w:rPr>
                <w:rStyle w:val="Tengill"/>
              </w:rPr>
              <w:t>Alls</w:t>
            </w:r>
          </w:p>
        </w:tc>
        <w:tc>
          <w:tcPr>
            <w:tcW w:w="845" w:type="dxa"/>
            <w:tcMar>
              <w:top w:w="57" w:type="dxa"/>
              <w:bottom w:w="57" w:type="dxa"/>
            </w:tcMar>
          </w:tcPr>
          <w:p w14:paraId="3B733FCB" w14:textId="77777777" w:rsidR="00D40031" w:rsidRDefault="00D40031" w:rsidP="00847C3D">
            <w:pPr>
              <w:ind w:firstLine="0"/>
              <w:jc w:val="right"/>
              <w:rPr>
                <w:rStyle w:val="Tengill"/>
              </w:rPr>
            </w:pPr>
            <w:r>
              <w:rPr>
                <w:rStyle w:val="Tengill"/>
              </w:rPr>
              <w:lastRenderedPageBreak/>
              <w:t>109,4</w:t>
            </w:r>
          </w:p>
          <w:p w14:paraId="4F631315" w14:textId="77777777" w:rsidR="00D40031" w:rsidRDefault="00D40031" w:rsidP="00847C3D">
            <w:pPr>
              <w:ind w:firstLine="0"/>
              <w:jc w:val="right"/>
              <w:rPr>
                <w:rStyle w:val="Tengill"/>
              </w:rPr>
            </w:pPr>
          </w:p>
          <w:p w14:paraId="26DFD948" w14:textId="77777777" w:rsidR="00D40031" w:rsidRDefault="00D40031" w:rsidP="00847C3D">
            <w:pPr>
              <w:ind w:firstLine="0"/>
              <w:jc w:val="right"/>
              <w:rPr>
                <w:rStyle w:val="Tengill"/>
              </w:rPr>
            </w:pPr>
            <w:r>
              <w:rPr>
                <w:rStyle w:val="Tengill"/>
              </w:rPr>
              <w:lastRenderedPageBreak/>
              <w:t>292,9</w:t>
            </w:r>
          </w:p>
          <w:p w14:paraId="749F7206" w14:textId="77777777" w:rsidR="00D40031" w:rsidRDefault="00D40031" w:rsidP="00847C3D">
            <w:pPr>
              <w:ind w:firstLine="0"/>
              <w:jc w:val="right"/>
              <w:rPr>
                <w:rStyle w:val="Tengill"/>
              </w:rPr>
            </w:pPr>
          </w:p>
          <w:p w14:paraId="23E64C57" w14:textId="77777777" w:rsidR="00D40031" w:rsidRDefault="00D40031" w:rsidP="00847C3D">
            <w:pPr>
              <w:ind w:firstLine="0"/>
              <w:jc w:val="right"/>
              <w:rPr>
                <w:rStyle w:val="Tengill"/>
              </w:rPr>
            </w:pPr>
            <w:r>
              <w:rPr>
                <w:rStyle w:val="Tengill"/>
              </w:rPr>
              <w:t>402,3</w:t>
            </w:r>
          </w:p>
        </w:tc>
        <w:tc>
          <w:tcPr>
            <w:tcW w:w="845" w:type="dxa"/>
            <w:tcMar>
              <w:top w:w="57" w:type="dxa"/>
              <w:bottom w:w="57" w:type="dxa"/>
            </w:tcMar>
          </w:tcPr>
          <w:p w14:paraId="550B5855" w14:textId="77777777" w:rsidR="00D40031" w:rsidRDefault="00D40031" w:rsidP="00847C3D">
            <w:pPr>
              <w:ind w:firstLine="0"/>
              <w:jc w:val="right"/>
              <w:rPr>
                <w:rStyle w:val="Tengill"/>
              </w:rPr>
            </w:pPr>
            <w:r>
              <w:rPr>
                <w:rStyle w:val="Tengill"/>
              </w:rPr>
              <w:lastRenderedPageBreak/>
              <w:t>106,5</w:t>
            </w:r>
          </w:p>
          <w:p w14:paraId="2F488D98" w14:textId="77777777" w:rsidR="00D40031" w:rsidRDefault="00D40031" w:rsidP="00847C3D">
            <w:pPr>
              <w:ind w:firstLine="0"/>
              <w:jc w:val="right"/>
              <w:rPr>
                <w:rStyle w:val="Tengill"/>
              </w:rPr>
            </w:pPr>
          </w:p>
          <w:p w14:paraId="0D6CDC75" w14:textId="77777777" w:rsidR="00D40031" w:rsidRDefault="00D40031" w:rsidP="00847C3D">
            <w:pPr>
              <w:ind w:firstLine="0"/>
              <w:jc w:val="right"/>
              <w:rPr>
                <w:rStyle w:val="Tengill"/>
              </w:rPr>
            </w:pPr>
            <w:r>
              <w:rPr>
                <w:rStyle w:val="Tengill"/>
              </w:rPr>
              <w:lastRenderedPageBreak/>
              <w:t>276,8</w:t>
            </w:r>
          </w:p>
          <w:p w14:paraId="24523EFC" w14:textId="77777777" w:rsidR="00D40031" w:rsidRDefault="00D40031" w:rsidP="00847C3D">
            <w:pPr>
              <w:ind w:firstLine="0"/>
              <w:jc w:val="right"/>
              <w:rPr>
                <w:rStyle w:val="Tengill"/>
              </w:rPr>
            </w:pPr>
          </w:p>
          <w:p w14:paraId="02471228" w14:textId="77777777" w:rsidR="00D40031" w:rsidRDefault="00D40031" w:rsidP="00847C3D">
            <w:pPr>
              <w:ind w:firstLine="0"/>
              <w:jc w:val="right"/>
              <w:rPr>
                <w:rStyle w:val="Tengill"/>
              </w:rPr>
            </w:pPr>
            <w:r>
              <w:rPr>
                <w:rStyle w:val="Tengill"/>
              </w:rPr>
              <w:t>383,3</w:t>
            </w:r>
          </w:p>
        </w:tc>
        <w:tc>
          <w:tcPr>
            <w:tcW w:w="845" w:type="dxa"/>
            <w:tcMar>
              <w:top w:w="57" w:type="dxa"/>
              <w:bottom w:w="57" w:type="dxa"/>
            </w:tcMar>
          </w:tcPr>
          <w:p w14:paraId="7B903C61" w14:textId="77777777" w:rsidR="00D40031" w:rsidRDefault="00D40031" w:rsidP="00847C3D">
            <w:pPr>
              <w:ind w:firstLine="0"/>
              <w:jc w:val="right"/>
              <w:rPr>
                <w:rStyle w:val="Tengill"/>
              </w:rPr>
            </w:pPr>
            <w:r>
              <w:rPr>
                <w:rStyle w:val="Tengill"/>
              </w:rPr>
              <w:lastRenderedPageBreak/>
              <w:t>103,7</w:t>
            </w:r>
          </w:p>
          <w:p w14:paraId="676949C1" w14:textId="77777777" w:rsidR="00D40031" w:rsidRDefault="00D40031" w:rsidP="00847C3D">
            <w:pPr>
              <w:ind w:firstLine="0"/>
              <w:jc w:val="right"/>
              <w:rPr>
                <w:rStyle w:val="Tengill"/>
              </w:rPr>
            </w:pPr>
          </w:p>
          <w:p w14:paraId="4D3F4CE6" w14:textId="77777777" w:rsidR="00D40031" w:rsidRDefault="00D40031" w:rsidP="00847C3D">
            <w:pPr>
              <w:ind w:firstLine="0"/>
              <w:jc w:val="right"/>
              <w:rPr>
                <w:rStyle w:val="Tengill"/>
              </w:rPr>
            </w:pPr>
            <w:r>
              <w:rPr>
                <w:rStyle w:val="Tengill"/>
              </w:rPr>
              <w:lastRenderedPageBreak/>
              <w:t>224,9</w:t>
            </w:r>
          </w:p>
          <w:p w14:paraId="107600F4" w14:textId="77777777" w:rsidR="00D40031" w:rsidRDefault="00D40031" w:rsidP="00847C3D">
            <w:pPr>
              <w:ind w:firstLine="0"/>
              <w:jc w:val="right"/>
              <w:rPr>
                <w:rStyle w:val="Tengill"/>
              </w:rPr>
            </w:pPr>
          </w:p>
          <w:p w14:paraId="1A0F4B9D" w14:textId="77777777" w:rsidR="00D40031" w:rsidRDefault="00D40031" w:rsidP="00847C3D">
            <w:pPr>
              <w:ind w:firstLine="0"/>
              <w:jc w:val="right"/>
              <w:rPr>
                <w:rStyle w:val="Tengill"/>
              </w:rPr>
            </w:pPr>
            <w:r>
              <w:rPr>
                <w:rStyle w:val="Tengill"/>
              </w:rPr>
              <w:t>328,6</w:t>
            </w:r>
          </w:p>
        </w:tc>
        <w:tc>
          <w:tcPr>
            <w:tcW w:w="845" w:type="dxa"/>
            <w:tcMar>
              <w:top w:w="57" w:type="dxa"/>
              <w:bottom w:w="57" w:type="dxa"/>
            </w:tcMar>
          </w:tcPr>
          <w:p w14:paraId="57D477A3" w14:textId="77777777" w:rsidR="00D40031" w:rsidRDefault="00D40031" w:rsidP="00847C3D">
            <w:pPr>
              <w:ind w:firstLine="0"/>
              <w:jc w:val="right"/>
              <w:rPr>
                <w:rStyle w:val="Tengill"/>
              </w:rPr>
            </w:pPr>
            <w:r>
              <w:rPr>
                <w:rStyle w:val="Tengill"/>
              </w:rPr>
              <w:lastRenderedPageBreak/>
              <w:t>103,4</w:t>
            </w:r>
          </w:p>
          <w:p w14:paraId="0CFE8B80" w14:textId="77777777" w:rsidR="00D40031" w:rsidRDefault="00D40031" w:rsidP="00847C3D">
            <w:pPr>
              <w:ind w:firstLine="0"/>
              <w:jc w:val="right"/>
              <w:rPr>
                <w:rStyle w:val="Tengill"/>
              </w:rPr>
            </w:pPr>
          </w:p>
          <w:p w14:paraId="1C3A5477" w14:textId="77777777" w:rsidR="00D40031" w:rsidRDefault="00D40031" w:rsidP="00847C3D">
            <w:pPr>
              <w:ind w:firstLine="0"/>
              <w:jc w:val="right"/>
              <w:rPr>
                <w:rStyle w:val="Tengill"/>
              </w:rPr>
            </w:pPr>
            <w:r>
              <w:rPr>
                <w:rStyle w:val="Tengill"/>
              </w:rPr>
              <w:lastRenderedPageBreak/>
              <w:t>233,4</w:t>
            </w:r>
          </w:p>
          <w:p w14:paraId="04C71E18" w14:textId="77777777" w:rsidR="00D40031" w:rsidRDefault="00D40031" w:rsidP="00847C3D">
            <w:pPr>
              <w:ind w:firstLine="0"/>
              <w:jc w:val="right"/>
              <w:rPr>
                <w:rStyle w:val="Tengill"/>
              </w:rPr>
            </w:pPr>
          </w:p>
          <w:p w14:paraId="65DA2F6C" w14:textId="77777777" w:rsidR="00D40031" w:rsidRDefault="00D40031" w:rsidP="00847C3D">
            <w:pPr>
              <w:ind w:firstLine="0"/>
              <w:jc w:val="right"/>
              <w:rPr>
                <w:rStyle w:val="Tengill"/>
              </w:rPr>
            </w:pPr>
            <w:r>
              <w:rPr>
                <w:rStyle w:val="Tengill"/>
              </w:rPr>
              <w:t>336,8</w:t>
            </w:r>
          </w:p>
        </w:tc>
        <w:tc>
          <w:tcPr>
            <w:tcW w:w="846" w:type="dxa"/>
            <w:tcMar>
              <w:top w:w="57" w:type="dxa"/>
              <w:bottom w:w="57" w:type="dxa"/>
            </w:tcMar>
          </w:tcPr>
          <w:p w14:paraId="7E5A1E9E" w14:textId="77777777" w:rsidR="00D40031" w:rsidRDefault="00D40031" w:rsidP="00847C3D">
            <w:pPr>
              <w:ind w:firstLine="0"/>
              <w:jc w:val="right"/>
              <w:rPr>
                <w:rStyle w:val="Tengill"/>
              </w:rPr>
            </w:pPr>
            <w:r>
              <w:rPr>
                <w:rStyle w:val="Tengill"/>
              </w:rPr>
              <w:lastRenderedPageBreak/>
              <w:t>119,8</w:t>
            </w:r>
          </w:p>
          <w:p w14:paraId="6255922D" w14:textId="77777777" w:rsidR="00D40031" w:rsidRDefault="00D40031" w:rsidP="00847C3D">
            <w:pPr>
              <w:ind w:firstLine="0"/>
              <w:jc w:val="right"/>
              <w:rPr>
                <w:rStyle w:val="Tengill"/>
              </w:rPr>
            </w:pPr>
          </w:p>
          <w:p w14:paraId="07D5AF14" w14:textId="77777777" w:rsidR="00D40031" w:rsidRDefault="00D40031" w:rsidP="00847C3D">
            <w:pPr>
              <w:ind w:firstLine="0"/>
              <w:jc w:val="right"/>
              <w:rPr>
                <w:rStyle w:val="Tengill"/>
              </w:rPr>
            </w:pPr>
            <w:r>
              <w:rPr>
                <w:rStyle w:val="Tengill"/>
              </w:rPr>
              <w:lastRenderedPageBreak/>
              <w:t>215,0</w:t>
            </w:r>
          </w:p>
          <w:p w14:paraId="2BAA46DE" w14:textId="77777777" w:rsidR="00D40031" w:rsidRDefault="00D40031" w:rsidP="00847C3D">
            <w:pPr>
              <w:ind w:firstLine="0"/>
              <w:jc w:val="right"/>
              <w:rPr>
                <w:rStyle w:val="Tengill"/>
              </w:rPr>
            </w:pPr>
          </w:p>
          <w:p w14:paraId="3E6D79C1" w14:textId="77777777" w:rsidR="00D40031" w:rsidRDefault="00D40031" w:rsidP="00847C3D">
            <w:pPr>
              <w:ind w:firstLine="0"/>
              <w:jc w:val="right"/>
              <w:rPr>
                <w:rStyle w:val="Tengill"/>
              </w:rPr>
            </w:pPr>
            <w:r>
              <w:rPr>
                <w:rStyle w:val="Tengill"/>
              </w:rPr>
              <w:t>334,8</w:t>
            </w:r>
          </w:p>
        </w:tc>
        <w:tc>
          <w:tcPr>
            <w:tcW w:w="1040" w:type="dxa"/>
            <w:tcBorders>
              <w:right w:val="nil"/>
            </w:tcBorders>
            <w:tcMar>
              <w:top w:w="57" w:type="dxa"/>
              <w:bottom w:w="57" w:type="dxa"/>
            </w:tcMar>
          </w:tcPr>
          <w:p w14:paraId="08E4C96B" w14:textId="77777777" w:rsidR="00D40031" w:rsidRDefault="00D40031" w:rsidP="00847C3D">
            <w:pPr>
              <w:ind w:firstLine="0"/>
              <w:jc w:val="right"/>
              <w:rPr>
                <w:rStyle w:val="Tengill"/>
              </w:rPr>
            </w:pPr>
            <w:r>
              <w:rPr>
                <w:rStyle w:val="Tengill"/>
              </w:rPr>
              <w:lastRenderedPageBreak/>
              <w:t>542,8</w:t>
            </w:r>
          </w:p>
          <w:p w14:paraId="4C0FBB5A" w14:textId="77777777" w:rsidR="00D40031" w:rsidRDefault="00D40031" w:rsidP="00847C3D">
            <w:pPr>
              <w:ind w:firstLine="0"/>
              <w:jc w:val="right"/>
              <w:rPr>
                <w:rStyle w:val="Tengill"/>
              </w:rPr>
            </w:pPr>
          </w:p>
          <w:p w14:paraId="12934F5A" w14:textId="77777777" w:rsidR="00D40031" w:rsidRDefault="00D40031" w:rsidP="00847C3D">
            <w:pPr>
              <w:ind w:firstLine="0"/>
              <w:jc w:val="right"/>
              <w:rPr>
                <w:rStyle w:val="Tengill"/>
              </w:rPr>
            </w:pPr>
            <w:r>
              <w:rPr>
                <w:rStyle w:val="Tengill"/>
              </w:rPr>
              <w:lastRenderedPageBreak/>
              <w:t>1.243,0</w:t>
            </w:r>
          </w:p>
          <w:p w14:paraId="3857F980" w14:textId="77777777" w:rsidR="00D40031" w:rsidRDefault="00D40031" w:rsidP="00847C3D">
            <w:pPr>
              <w:ind w:firstLine="0"/>
              <w:jc w:val="right"/>
              <w:rPr>
                <w:rStyle w:val="Tengill"/>
              </w:rPr>
            </w:pPr>
          </w:p>
          <w:p w14:paraId="220B7A1F" w14:textId="77777777" w:rsidR="00D40031" w:rsidRDefault="00D40031" w:rsidP="00847C3D">
            <w:pPr>
              <w:ind w:firstLine="0"/>
              <w:jc w:val="right"/>
              <w:rPr>
                <w:rStyle w:val="Tengill"/>
              </w:rPr>
            </w:pPr>
            <w:r>
              <w:rPr>
                <w:rStyle w:val="Tengill"/>
              </w:rPr>
              <w:t>1.785,8</w:t>
            </w:r>
          </w:p>
        </w:tc>
      </w:tr>
      <w:tr w:rsidR="00D40031" w14:paraId="6C7F76DB" w14:textId="77777777" w:rsidTr="00847C3D">
        <w:tc>
          <w:tcPr>
            <w:tcW w:w="985" w:type="dxa"/>
            <w:tcBorders>
              <w:left w:val="nil"/>
              <w:right w:val="nil"/>
            </w:tcBorders>
          </w:tcPr>
          <w:p w14:paraId="3D7867E2" w14:textId="77777777" w:rsidR="00D40031" w:rsidRDefault="00D40031" w:rsidP="00847C3D">
            <w:pPr>
              <w:ind w:firstLine="0"/>
              <w:rPr>
                <w:rStyle w:val="Tengill"/>
                <w:i/>
                <w:iCs/>
              </w:rPr>
            </w:pPr>
          </w:p>
        </w:tc>
        <w:tc>
          <w:tcPr>
            <w:tcW w:w="7933" w:type="dxa"/>
            <w:gridSpan w:val="8"/>
            <w:tcBorders>
              <w:left w:val="nil"/>
              <w:right w:val="nil"/>
            </w:tcBorders>
            <w:tcMar>
              <w:top w:w="57" w:type="dxa"/>
              <w:bottom w:w="57" w:type="dxa"/>
            </w:tcMar>
          </w:tcPr>
          <w:p w14:paraId="4F362D94" w14:textId="77777777" w:rsidR="00D40031" w:rsidRDefault="00D40031" w:rsidP="00847C3D">
            <w:pPr>
              <w:ind w:firstLine="0"/>
              <w:rPr>
                <w:rStyle w:val="Tengill"/>
              </w:rPr>
            </w:pPr>
            <w:r>
              <w:rPr>
                <w:rStyle w:val="Tengill"/>
                <w:i/>
                <w:iCs/>
              </w:rPr>
              <w:t xml:space="preserve">Miðað við verðlag 2024. </w:t>
            </w:r>
            <w:r w:rsidRPr="00BE6BDE">
              <w:rPr>
                <w:rStyle w:val="Tengill"/>
                <w:i/>
                <w:iCs/>
              </w:rPr>
              <w:t xml:space="preserve">Fjárhæðir í </w:t>
            </w:r>
            <w:proofErr w:type="spellStart"/>
            <w:r>
              <w:rPr>
                <w:rStyle w:val="Tengill"/>
                <w:i/>
                <w:iCs/>
              </w:rPr>
              <w:t>millj</w:t>
            </w:r>
            <w:proofErr w:type="spellEnd"/>
            <w:r>
              <w:rPr>
                <w:rStyle w:val="Tengill"/>
                <w:i/>
                <w:iCs/>
              </w:rPr>
              <w:t xml:space="preserve">. kr. </w:t>
            </w:r>
          </w:p>
        </w:tc>
      </w:tr>
    </w:tbl>
    <w:p w14:paraId="12C742D7" w14:textId="77777777" w:rsidR="00D40031" w:rsidRPr="00044D6E" w:rsidRDefault="00D40031" w:rsidP="00D40031">
      <w:pPr>
        <w:ind w:firstLine="0"/>
      </w:pPr>
    </w:p>
    <w:p w14:paraId="6FB769C8" w14:textId="49192714" w:rsidR="00044D6E" w:rsidRDefault="007726F3" w:rsidP="003E329E">
      <w:pPr>
        <w:pStyle w:val="Millifyrirsgn1"/>
      </w:pPr>
      <w:r>
        <w:t>3</w:t>
      </w:r>
      <w:r w:rsidR="003E329E" w:rsidRPr="003E329E">
        <w:t xml:space="preserve">. </w:t>
      </w:r>
      <w:r w:rsidR="00205DAE" w:rsidRPr="003E329E">
        <w:t>Aðgerðir aðgerðaáætlunar</w:t>
      </w:r>
      <w:r w:rsidR="00044D6E" w:rsidRPr="003E329E">
        <w:t>.</w:t>
      </w:r>
    </w:p>
    <w:p w14:paraId="499BFE76" w14:textId="75E6D24C" w:rsidR="00D40031" w:rsidRDefault="00D40031" w:rsidP="00D40031">
      <w:r>
        <w:t xml:space="preserve">Aðgerðirnar eru sex og markmiðin alls 24 sem eru tilgreind í áætluninni, en ekki er fjallað sérstaklega um þau 75 verkefni sem aðgerðaáætlunin byggist á og eru reifuð í skýrslu starfshóps sem fjallað er um í 1. kafla greinargerðarinnar. </w:t>
      </w:r>
    </w:p>
    <w:p w14:paraId="7F58187D" w14:textId="77777777" w:rsidR="00D40031" w:rsidRPr="00D40031" w:rsidRDefault="00D40031" w:rsidP="00D40031"/>
    <w:p w14:paraId="092AEFB1" w14:textId="5817E28D" w:rsidR="00DB1A7D" w:rsidRPr="00E6082C" w:rsidRDefault="007726F3" w:rsidP="003E329E">
      <w:pPr>
        <w:pStyle w:val="Millifyrirsgn2"/>
      </w:pPr>
      <w:bookmarkStart w:id="17" w:name="_Ref151631293"/>
      <w:bookmarkStart w:id="18" w:name="_Toc155265954"/>
      <w:bookmarkStart w:id="19" w:name="_Toc156474945"/>
      <w:bookmarkStart w:id="20" w:name="_Toc156549517"/>
      <w:r>
        <w:t>3</w:t>
      </w:r>
      <w:r w:rsidR="003E329E">
        <w:t>.1</w:t>
      </w:r>
      <w:r w:rsidR="001700AB">
        <w:t>.</w:t>
      </w:r>
      <w:r w:rsidR="00DB1A7D">
        <w:t xml:space="preserve"> </w:t>
      </w:r>
      <w:r w:rsidR="00DB1A7D" w:rsidRPr="00D95E83">
        <w:t xml:space="preserve">Stuðla að markvissri og skynsamlegri notkun sýklalyfja </w:t>
      </w:r>
      <w:r w:rsidR="00D40031">
        <w:t>manna</w:t>
      </w:r>
      <w:r w:rsidR="00DB1A7D" w:rsidRPr="00D95E83">
        <w:t xml:space="preserve"> og dýr</w:t>
      </w:r>
      <w:bookmarkEnd w:id="17"/>
      <w:bookmarkEnd w:id="18"/>
      <w:bookmarkEnd w:id="19"/>
      <w:bookmarkEnd w:id="20"/>
      <w:r w:rsidR="00D40031">
        <w:t>a.</w:t>
      </w:r>
    </w:p>
    <w:p w14:paraId="1AE64325" w14:textId="25380750" w:rsidR="000D0817" w:rsidRDefault="000D0817" w:rsidP="00F31CE8">
      <w:r>
        <w:tab/>
      </w:r>
      <w:r>
        <w:tab/>
      </w:r>
      <w:r>
        <w:tab/>
      </w:r>
      <w:r>
        <w:tab/>
      </w:r>
      <w:r>
        <w:tab/>
      </w:r>
      <w:r>
        <w:tab/>
      </w:r>
      <w:r>
        <w:tab/>
        <w:t xml:space="preserve">Mikil og/eða óskynsamleg notkun sýklalyfja </w:t>
      </w:r>
      <w:r w:rsidR="00D40031">
        <w:t>manna</w:t>
      </w:r>
      <w:r>
        <w:t xml:space="preserve"> og dýr</w:t>
      </w:r>
      <w:r w:rsidR="00D40031">
        <w:t>a</w:t>
      </w:r>
      <w:r>
        <w:t xml:space="preserve"> er talin einn helsti áhættuþáttur fyrir tilkomu og dreifingu sýklalyfjaónæmra baktería. Sýklalyfjaónæmi hjá bakteríum er tilkomið vegna erfðafræðilegra breytinga bakteríanna og getur í mörgum tilfellum dreifst frá einni bakteríu til annarrar.</w:t>
      </w:r>
    </w:p>
    <w:p w14:paraId="655A9767" w14:textId="122E0FC1" w:rsidR="000D0817" w:rsidRDefault="000D0817" w:rsidP="00F31CE8">
      <w:r>
        <w:tab/>
      </w:r>
      <w:r>
        <w:tab/>
      </w:r>
      <w:r>
        <w:tab/>
      </w:r>
      <w:r>
        <w:tab/>
      </w:r>
      <w:r>
        <w:tab/>
        <w:t xml:space="preserve">Verkefni sem stuðla að markvissri og skynsamlegri notkun sýklalyfja </w:t>
      </w:r>
      <w:r w:rsidR="00D40031">
        <w:t>manna</w:t>
      </w:r>
      <w:r>
        <w:t xml:space="preserve"> og dýr</w:t>
      </w:r>
      <w:r w:rsidR="00D40031">
        <w:t>a</w:t>
      </w:r>
      <w:r>
        <w:t xml:space="preserve"> eru því mikilvægur þáttur aðgerðaáætlunarinnar. Skráning og gott aðgengi að upplýsingum um notkunina er forsenda þess að hægt sé að ráðast í verkefni sem stuðla að bættri notkun. Því eru verkefni sem snúa að skráningu sýklalyfjanotkunar, gerð gagnagrunna og vöktun gagna talsvert fyrirferðarmikil í þessari aðgerð. Verkefni sem snúa að leiðbeining</w:t>
      </w:r>
      <w:r w:rsidR="00567FBF">
        <w:t>um</w:t>
      </w:r>
      <w:r>
        <w:t xml:space="preserve"> og gæðaþróun eru jafnframt lykilþættir til að ná árangri í þessari aðgerð, bæði í heilsugæslu, á hjúkrunarheimilum og sjúkrahúsum, hjá sjálfstætt starfandi sérgreinalæknum og hjá dýralæknum. Fræðsla almennings og fagstétta um notkun sýklalyfja gegnir einnig mikilvægu hlutverki í því að minnka og bæta notkunina. Um fræðslu í aðgerðaáætluninni er fjallað sérstaklega í aðgerð tvö. </w:t>
      </w:r>
    </w:p>
    <w:p w14:paraId="3DC3055E" w14:textId="6B4B872D" w:rsidR="00D41B5D" w:rsidRDefault="000D0817" w:rsidP="00F31CE8">
      <w:r>
        <w:tab/>
        <w:t xml:space="preserve">Í aðgerð eitt eru sett eftirfarandi fjögur markmið sem stefnt skuli að til að minnka og bæta sýklalyfjanotkun </w:t>
      </w:r>
      <w:r w:rsidR="00D40031">
        <w:t xml:space="preserve">manna </w:t>
      </w:r>
      <w:r>
        <w:t xml:space="preserve">og </w:t>
      </w:r>
      <w:r w:rsidR="00E749D8">
        <w:t xml:space="preserve">sýklalyfjagjöf </w:t>
      </w:r>
      <w:r>
        <w:t>dýr</w:t>
      </w:r>
      <w:r w:rsidR="00D40031">
        <w:t>a</w:t>
      </w:r>
      <w:r>
        <w:t>:</w:t>
      </w:r>
    </w:p>
    <w:p w14:paraId="2233830B" w14:textId="453A6C26" w:rsidR="00D41B5D" w:rsidRDefault="00205DAE" w:rsidP="00567FBF">
      <w:pPr>
        <w:pStyle w:val="Mlsgreinlista"/>
        <w:numPr>
          <w:ilvl w:val="0"/>
          <w:numId w:val="50"/>
        </w:numPr>
      </w:pPr>
      <w:r w:rsidRPr="00D41B5D">
        <w:t xml:space="preserve">Efla og þróa rafrænar skráningar og vöktun sýklalyfjaávísana hjá mönnum. </w:t>
      </w:r>
    </w:p>
    <w:p w14:paraId="5FD87F7F" w14:textId="05F8B87A" w:rsidR="00D41B5D" w:rsidRDefault="00205DAE" w:rsidP="00567FBF">
      <w:pPr>
        <w:pStyle w:val="Mlsgreinlista"/>
        <w:numPr>
          <w:ilvl w:val="0"/>
          <w:numId w:val="50"/>
        </w:numPr>
      </w:pPr>
      <w:r w:rsidRPr="00D41B5D">
        <w:t xml:space="preserve">Stuðla að minni og skynsamlegri sýklalyfjanotkun </w:t>
      </w:r>
      <w:r w:rsidR="00567FBF">
        <w:t xml:space="preserve">manna </w:t>
      </w:r>
      <w:r w:rsidRPr="00D41B5D">
        <w:t>með aukinni gæðaþróun og leiðbeining</w:t>
      </w:r>
      <w:r w:rsidR="00567FBF">
        <w:t>um</w:t>
      </w:r>
      <w:r w:rsidRPr="00D41B5D">
        <w:t>.</w:t>
      </w:r>
    </w:p>
    <w:p w14:paraId="0BDB647C" w14:textId="5FE61DA1" w:rsidR="00D41B5D" w:rsidRDefault="00205DAE" w:rsidP="00567FBF">
      <w:pPr>
        <w:pStyle w:val="Mlsgreinlista"/>
        <w:numPr>
          <w:ilvl w:val="0"/>
          <w:numId w:val="50"/>
        </w:numPr>
      </w:pPr>
      <w:r w:rsidRPr="00D41B5D">
        <w:t>Efla og þróa rafrænar skráningar og vöktun sýklalyfjaávísana hjá dýrum.</w:t>
      </w:r>
    </w:p>
    <w:p w14:paraId="13625529" w14:textId="520F6397" w:rsidR="00205DAE" w:rsidRPr="00D41B5D" w:rsidRDefault="00205DAE" w:rsidP="00567FBF">
      <w:pPr>
        <w:pStyle w:val="Mlsgreinlista"/>
        <w:numPr>
          <w:ilvl w:val="0"/>
          <w:numId w:val="50"/>
        </w:numPr>
      </w:pPr>
      <w:r w:rsidRPr="00D41B5D">
        <w:t>Stuðla að skynsamlegri sýklalyfja</w:t>
      </w:r>
      <w:r w:rsidR="00E749D8">
        <w:t>gjöf</w:t>
      </w:r>
      <w:r w:rsidRPr="00D41B5D">
        <w:t xml:space="preserve"> dýr</w:t>
      </w:r>
      <w:r w:rsidR="00567FBF">
        <w:t>a</w:t>
      </w:r>
      <w:r w:rsidRPr="00D41B5D">
        <w:t xml:space="preserve"> með aukinni gæðaþróun og leiðbeining</w:t>
      </w:r>
      <w:r w:rsidR="00567FBF">
        <w:t>um</w:t>
      </w:r>
      <w:r w:rsidRPr="00D41B5D">
        <w:t xml:space="preserve">. </w:t>
      </w:r>
    </w:p>
    <w:p w14:paraId="3E69BA7F" w14:textId="4A2DD622" w:rsidR="00205DAE" w:rsidRPr="00E6082C" w:rsidRDefault="00205DAE" w:rsidP="00205DAE">
      <w:bookmarkStart w:id="21" w:name="_Hlk151828764"/>
      <w:r w:rsidRPr="00E6082C">
        <w:t>Samtals eru tilgreind 22 verkefni til þess að ná ofangreindum markmiðum</w:t>
      </w:r>
      <w:r w:rsidR="00851ED3">
        <w:t xml:space="preserve"> í aðgerð tvö</w:t>
      </w:r>
      <w:r w:rsidRPr="00E6082C">
        <w:t xml:space="preserve">. Af þeim eru 16 í forgangshópi eitt og sex í forgangshópi tvö en ekkert í forgangshópi þrjú. Heildarkostnaður verkefnanna á tímabilinu 2025–2029 er áætlaður </w:t>
      </w:r>
      <w:r>
        <w:t xml:space="preserve">um 606 </w:t>
      </w:r>
      <w:proofErr w:type="spellStart"/>
      <w:r w:rsidR="004971D0">
        <w:t>millj</w:t>
      </w:r>
      <w:proofErr w:type="spellEnd"/>
      <w:r w:rsidR="004971D0">
        <w:t>. kr.</w:t>
      </w:r>
      <w:r w:rsidR="004971D0" w:rsidRPr="00E6082C">
        <w:t xml:space="preserve"> </w:t>
      </w:r>
      <w:r w:rsidRPr="00E6082C">
        <w:t>en er nokkuð breytilegur milli ára.</w:t>
      </w:r>
    </w:p>
    <w:p w14:paraId="7924613E" w14:textId="47667809" w:rsidR="00205DAE" w:rsidRPr="00E6082C" w:rsidRDefault="00205DAE" w:rsidP="00205DAE">
      <w:r w:rsidRPr="00E6082C">
        <w:t xml:space="preserve">Ábyrgðaraðilar þeirra 13 verkefna sem heyra undir markmið 1.1 og 1.2 (sýklalyfjanotkun </w:t>
      </w:r>
      <w:r w:rsidR="00E749D8">
        <w:t>manna</w:t>
      </w:r>
      <w:r w:rsidRPr="00E6082C">
        <w:t xml:space="preserve">) eru embætti landlæknis (sjö verkefni), Þróunarmiðstöð íslenskrar heilsugæslu (þrjú verkefni), sóttvarnalæknir (tvö verkefni) og Landspítali (eitt verkefni). Auk þess koma fjölmargir aðrir aðilar að verkefnunum, svo sem sjúkrahús, aðrar heilbrigðisstofnanir, heilbrigðisráðuneyti og Samtök fyrirtækja í velferðarþjónustu. </w:t>
      </w:r>
    </w:p>
    <w:p w14:paraId="03B36FD4" w14:textId="2A1CA515" w:rsidR="00205DAE" w:rsidRDefault="00205DAE" w:rsidP="00205DAE">
      <w:r w:rsidRPr="00E6082C">
        <w:t>Ábyrgðaraðilar þeirra níu verkefna sem heyra undir markmið 1.3 og 1.4 (sýklalyfja</w:t>
      </w:r>
      <w:r w:rsidR="00E749D8">
        <w:t>gjöf</w:t>
      </w:r>
      <w:r w:rsidRPr="00E6082C">
        <w:t xml:space="preserve"> dýr</w:t>
      </w:r>
      <w:r w:rsidR="00E749D8">
        <w:t>a</w:t>
      </w:r>
      <w:r w:rsidRPr="00E6082C">
        <w:t xml:space="preserve">) eru Matvælastofnun (sjö verkefni), matvælaráðuneyti (eitt verkefni) og heilbrigðisráðuneyti (eitt verkefni). Aðrir aðilar koma einnig að framkvæmd nokkurra verkefnanna. </w:t>
      </w:r>
    </w:p>
    <w:p w14:paraId="4AD359D2" w14:textId="77777777" w:rsidR="00205DAE" w:rsidRPr="00E6082C" w:rsidRDefault="00205DAE" w:rsidP="00205DAE"/>
    <w:p w14:paraId="15D5C580" w14:textId="268A97FF" w:rsidR="00205DAE" w:rsidRPr="00851ED3" w:rsidRDefault="007726F3" w:rsidP="003E329E">
      <w:pPr>
        <w:pStyle w:val="Millifyrirsgn2"/>
      </w:pPr>
      <w:bookmarkStart w:id="22" w:name="_Ref151631395"/>
      <w:bookmarkStart w:id="23" w:name="_Ref151631399"/>
      <w:bookmarkStart w:id="24" w:name="_Toc155265955"/>
      <w:bookmarkStart w:id="25" w:name="_Toc156474946"/>
      <w:bookmarkStart w:id="26" w:name="_Toc156549518"/>
      <w:bookmarkEnd w:id="21"/>
      <w:r>
        <w:t>3</w:t>
      </w:r>
      <w:r w:rsidR="007568D5" w:rsidRPr="00851ED3">
        <w:t>.</w:t>
      </w:r>
      <w:r w:rsidR="003E329E">
        <w:t>2</w:t>
      </w:r>
      <w:r w:rsidR="001700AB">
        <w:t>.</w:t>
      </w:r>
      <w:r w:rsidR="00205DAE" w:rsidRPr="00851ED3">
        <w:t xml:space="preserve"> Takmarka útbreiðslu sýklalyfjaónæmis með upplýsingagjöf, fræðslu og forvörnum</w:t>
      </w:r>
      <w:bookmarkEnd w:id="22"/>
      <w:bookmarkEnd w:id="23"/>
      <w:bookmarkEnd w:id="24"/>
      <w:bookmarkEnd w:id="25"/>
      <w:bookmarkEnd w:id="26"/>
      <w:r w:rsidR="003E329E">
        <w:t>.</w:t>
      </w:r>
    </w:p>
    <w:p w14:paraId="45067CCB" w14:textId="0D274379" w:rsidR="00205DAE" w:rsidRPr="00B55A8A" w:rsidRDefault="00205DAE" w:rsidP="00205DAE">
      <w:pPr>
        <w:rPr>
          <w:rFonts w:eastAsia="Times New Roman"/>
          <w:sz w:val="24"/>
          <w:szCs w:val="24"/>
          <w:lang w:eastAsia="is-IS"/>
        </w:rPr>
      </w:pPr>
      <w:r>
        <w:t xml:space="preserve">Þungamiðja aðgerðaáætlunarinnar felur í sér verkefni sem miða að því að minnka og bæta notkun sýklalyfja, auka hreinlæti (sóttvarnir) og koma í veg fyrir sýkingar með öðrum ráðum eins og bólusetningum. Til að svo megi verða þá þarf að upplýsa og fræða almenning, heilbrigðisstéttir, starfsfólk í velferðarþjónustu, dýralækna og matvælaframleiðendur um mikilvægi skynsamlegrar sýklalyfjanotkunar og mikilvægi sóttvarna. </w:t>
      </w:r>
    </w:p>
    <w:p w14:paraId="24EE418D" w14:textId="77777777" w:rsidR="00205DAE" w:rsidRDefault="00205DAE" w:rsidP="00205DAE">
      <w:r>
        <w:t xml:space="preserve">Sóttvarnir hjá almenningi og ýmsar bólusetningar koma í veg fyrir algengar öndunarfæra- og meltingarfærasýkingar, og draga þannig úr notkun sýklalyfja og þar með dreifingu sýklalyfjaónæmra baktería. Fræðsla til almennings um sóttvarnir og góð þátttaka í ýmsum bólusetningum eins og gegn pneumókokkum, </w:t>
      </w:r>
      <w:r w:rsidRPr="28D1EC00">
        <w:rPr>
          <w:i/>
          <w:iCs/>
        </w:rPr>
        <w:t>H. influenzae</w:t>
      </w:r>
      <w:r>
        <w:t xml:space="preserve"> b, inflúensu (algengar orsakir öndunarfærasýkinga) og rótaveiru (algeng orsök bráðra meltingarfærasýkinga hjá börnum) gegna þannig mikilvægu hlutverki í því að minnka sjúkdómsbyrði í samfélaginu og dreifingu sýklalyfjaónæmra baktería.</w:t>
      </w:r>
    </w:p>
    <w:p w14:paraId="635594D7" w14:textId="77777777" w:rsidR="00205DAE" w:rsidRDefault="00205DAE" w:rsidP="00205DAE">
      <w:r>
        <w:t>Einnig eru sóttvarnir mikilvægar til að koma í veg fyrir útbreiðslu sýklalyfjaónæmra baktería hjá dýrum, draga úr líkum á útbreiðslu ónæmra baktería á milli manna og dýra og lágmarka áhættuna á mengun matvæla.</w:t>
      </w:r>
    </w:p>
    <w:p w14:paraId="653BD50B" w14:textId="3D38826C" w:rsidR="00205DAE" w:rsidRPr="00E6082C" w:rsidRDefault="00205DAE" w:rsidP="00205DAE">
      <w:pPr>
        <w:rPr>
          <w:b/>
          <w:bCs/>
        </w:rPr>
      </w:pPr>
      <w:r>
        <w:t xml:space="preserve">Undir aðgerð tvö sem tekur til verkefna er fela í sér miðlun upplýsinga, fræðslu og forvarnir eru sett fram eftirfarandi fimm markmið sem miða að því að takmarka útbreiðslu sýklalyfjaónæmra baktería: </w:t>
      </w:r>
    </w:p>
    <w:p w14:paraId="2D043B32" w14:textId="54DCD7F3" w:rsidR="00205DAE" w:rsidRPr="00D41B5D" w:rsidRDefault="00205DAE" w:rsidP="00567FBF">
      <w:pPr>
        <w:pStyle w:val="Mlsgreinlista"/>
        <w:numPr>
          <w:ilvl w:val="0"/>
          <w:numId w:val="51"/>
        </w:numPr>
      </w:pPr>
      <w:r w:rsidRPr="00D41B5D">
        <w:t>Auka þekkingu almennings á sýklalyfjaónæmi, notkun sýklalyfja og sóttvörnum.</w:t>
      </w:r>
    </w:p>
    <w:p w14:paraId="165FB6E5" w14:textId="65E202B4" w:rsidR="00205DAE" w:rsidRPr="00D41B5D" w:rsidRDefault="00205DAE" w:rsidP="00567FBF">
      <w:pPr>
        <w:pStyle w:val="Mlsgreinlista"/>
        <w:numPr>
          <w:ilvl w:val="0"/>
          <w:numId w:val="51"/>
        </w:numPr>
      </w:pPr>
      <w:r w:rsidRPr="00D41B5D">
        <w:lastRenderedPageBreak/>
        <w:t>Auka þekkingu heilbrigðisstarfsmanna og starfsmanna í velferðarþjónustusýklalyfjaónæmi, notkun sýklalyfja og sóttvörnum.</w:t>
      </w:r>
    </w:p>
    <w:p w14:paraId="70F83ED6" w14:textId="7A662ACD" w:rsidR="00205DAE" w:rsidRPr="00D41B5D" w:rsidRDefault="00205DAE" w:rsidP="00567FBF">
      <w:pPr>
        <w:pStyle w:val="Mlsgreinlista"/>
        <w:numPr>
          <w:ilvl w:val="0"/>
          <w:numId w:val="51"/>
        </w:numPr>
      </w:pPr>
      <w:r w:rsidRPr="00D41B5D">
        <w:t>Auka þekkingu dýralækna á sýklalyfjaónæmi, notkun sýklalyfja og sóttvörnum.</w:t>
      </w:r>
    </w:p>
    <w:p w14:paraId="7E8F9B2A" w14:textId="2C4750AF" w:rsidR="00205DAE" w:rsidRPr="00D41B5D" w:rsidRDefault="00205DAE" w:rsidP="00567FBF">
      <w:pPr>
        <w:pStyle w:val="Mlsgreinlista"/>
        <w:numPr>
          <w:ilvl w:val="0"/>
          <w:numId w:val="51"/>
        </w:numPr>
      </w:pPr>
      <w:r w:rsidRPr="00D41B5D">
        <w:t>Auka þekkingu matvælaframleiðenda og annarra matvælafyrirtækja á sýklalyfjaónæmi, notkun sýklalyfja og sóttvörnum.</w:t>
      </w:r>
    </w:p>
    <w:p w14:paraId="66408B2C" w14:textId="6C63DBE4" w:rsidR="00205DAE" w:rsidRPr="00D41B5D" w:rsidRDefault="00205DAE" w:rsidP="00567FBF">
      <w:pPr>
        <w:pStyle w:val="Mlsgreinlista"/>
        <w:numPr>
          <w:ilvl w:val="0"/>
          <w:numId w:val="51"/>
        </w:numPr>
      </w:pPr>
      <w:r w:rsidRPr="00D41B5D">
        <w:t>Minnka líkur á sýkingum hjá almenningi í samfélaginu.</w:t>
      </w:r>
    </w:p>
    <w:p w14:paraId="55280CFF" w14:textId="5ED2C619" w:rsidR="00205DAE" w:rsidRDefault="00851ED3" w:rsidP="00205DAE">
      <w:bookmarkStart w:id="27" w:name="_Hlk151892024"/>
      <w:bookmarkStart w:id="28" w:name="_Ref151631437"/>
      <w:bookmarkStart w:id="29" w:name="_Toc155265956"/>
      <w:r>
        <w:t xml:space="preserve">Í aðgerðaáætluninni </w:t>
      </w:r>
      <w:r w:rsidR="00205DAE">
        <w:t>eru tilgreind 18 verkefni til að ná ofangreindum markmiðum</w:t>
      </w:r>
      <w:r>
        <w:t xml:space="preserve"> í aðgerð tvö</w:t>
      </w:r>
      <w:r w:rsidR="00205DAE">
        <w:t xml:space="preserve">. Af þeim eru fimm í forgangshópi eitt, 11 í forgangshópi tvö og tvö í forgangshópi þrjú. Heildarkostnaður verkefnanna á tímabilinu 2025–2029 er áætlaður um 196 </w:t>
      </w:r>
      <w:proofErr w:type="spellStart"/>
      <w:r w:rsidR="004971D0">
        <w:t>millj</w:t>
      </w:r>
      <w:proofErr w:type="spellEnd"/>
      <w:r w:rsidR="004971D0">
        <w:t xml:space="preserve">. kr. </w:t>
      </w:r>
      <w:r w:rsidR="00205DAE">
        <w:t xml:space="preserve">en er nokkuð breytilegur milli ára. </w:t>
      </w:r>
    </w:p>
    <w:p w14:paraId="7C876FB2" w14:textId="77777777" w:rsidR="00205DAE" w:rsidRDefault="00205DAE" w:rsidP="00205DAE">
      <w:r>
        <w:t>Ábyrgðaraðilar þeirra 18 verkefna heyra undir aðgerð tvö eru sóttvarnalæknir (sjö verkefni), Matvælastofnun (sex verkefni), heilbrigðisráðuneyti (þrjú verkefni), Þróunarmiðstöð íslenskrar heilsugæslu (eitt verkefni) og Heilsugæsla höfuðborgarsvæðisins (eitt verkefni). Fjölmargir aðrir aðilar koma einnig að verkefnunum.</w:t>
      </w:r>
    </w:p>
    <w:p w14:paraId="2DE83D26" w14:textId="77777777" w:rsidR="002712B5" w:rsidRDefault="002712B5" w:rsidP="002712B5">
      <w:pPr>
        <w:pStyle w:val="Millifyrirsgn2"/>
        <w:rPr>
          <w:b/>
          <w:bCs/>
        </w:rPr>
      </w:pPr>
      <w:bookmarkStart w:id="30" w:name="_Toc156474947"/>
      <w:bookmarkStart w:id="31" w:name="_Toc156549519"/>
      <w:bookmarkEnd w:id="27"/>
    </w:p>
    <w:p w14:paraId="72D4F06E" w14:textId="4BB3F762" w:rsidR="00205DAE" w:rsidRPr="003E329E" w:rsidRDefault="007726F3" w:rsidP="003E329E">
      <w:pPr>
        <w:pStyle w:val="Millifyrirsgn2"/>
      </w:pPr>
      <w:r>
        <w:t>3</w:t>
      </w:r>
      <w:r w:rsidR="003E329E" w:rsidRPr="003E329E">
        <w:t>.</w:t>
      </w:r>
      <w:r w:rsidR="002712B5" w:rsidRPr="003E329E">
        <w:t>3</w:t>
      </w:r>
      <w:r w:rsidR="001700AB">
        <w:t>.</w:t>
      </w:r>
      <w:r w:rsidR="002712B5" w:rsidRPr="003E329E">
        <w:t xml:space="preserve"> </w:t>
      </w:r>
      <w:r w:rsidR="00205DAE" w:rsidRPr="003E329E">
        <w:t>Bæta þekkingu á sýklalyfjaónæmi með vöktun og vísindarannsóknum</w:t>
      </w:r>
      <w:bookmarkEnd w:id="28"/>
      <w:bookmarkEnd w:id="29"/>
      <w:bookmarkEnd w:id="30"/>
      <w:bookmarkEnd w:id="31"/>
      <w:r w:rsidR="003E329E">
        <w:t>.</w:t>
      </w:r>
    </w:p>
    <w:p w14:paraId="414F69E5" w14:textId="07D93A88" w:rsidR="00851ED3" w:rsidRDefault="00851ED3" w:rsidP="00851ED3">
      <w:r>
        <w:t xml:space="preserve">Til að geta beitt áhrifaríkustu og hagkvæmustu aðgerðum gegn sýklalyfjaónæmi á hverjum tíma er nauðsynlegt að afla vísindalegrar þekkingar um tilurð og dreifingu ónæmra baktería og fá bestu vitneskju um útbreiðslu þeirra með vöktun </w:t>
      </w:r>
      <w:r w:rsidR="00FA2A6C">
        <w:t>á</w:t>
      </w:r>
      <w:r>
        <w:t xml:space="preserve"> mönnum, dýrum, í matvælum og umhverfi</w:t>
      </w:r>
      <w:r w:rsidR="00FA2A6C">
        <w:t>nu</w:t>
      </w:r>
      <w:r>
        <w:t>.</w:t>
      </w:r>
    </w:p>
    <w:p w14:paraId="1E9E5893" w14:textId="77777777" w:rsidR="00851ED3" w:rsidRDefault="00851ED3" w:rsidP="00851ED3">
      <w:r>
        <w:t xml:space="preserve">Niðurstöður vöktunar og vísindarannsókna skapa nauðsynlegan grunn fyrir stöðumat og samanburð, og eru auk þess mikilvægar til að meta þörf og árangur íhlutandi aðgerða. </w:t>
      </w:r>
    </w:p>
    <w:p w14:paraId="3BB8C5D6" w14:textId="5FD8064D" w:rsidR="00851ED3" w:rsidRDefault="00851ED3" w:rsidP="00851ED3">
      <w:r>
        <w:t xml:space="preserve">Í reglugerð um skýrslugerð vegna sóttvarna, </w:t>
      </w:r>
      <w:r w:rsidR="00FA2A6C">
        <w:t xml:space="preserve">nr. 221/2012, </w:t>
      </w:r>
      <w:r>
        <w:t>er tilgreind tilkynningarskylda fyrir tilteknar ónæmar bakteríur sem greinast í fólki. Sambærileg tilkynningarskylda gildir fyrir matvæli og fóður, með vísan í ofangreinda reglugerð, en er hins vegar ekki í gildi vegna sýklalyfjaónæmra baktería sem greinast hjá dýrum og í umhverfi</w:t>
      </w:r>
      <w:r w:rsidR="00FA2A6C">
        <w:t>nu</w:t>
      </w:r>
      <w:r>
        <w:t xml:space="preserve">. Mikilvægt er að sambærilegar reglur gildi um alla þessa þætti. </w:t>
      </w:r>
    </w:p>
    <w:p w14:paraId="3A8A72B1" w14:textId="69E2C833" w:rsidR="00851ED3" w:rsidRDefault="00851ED3" w:rsidP="00851ED3">
      <w:r>
        <w:t>Heilgenaraðgreiningar baktería (</w:t>
      </w:r>
      <w:r w:rsidR="00567FBF">
        <w:t xml:space="preserve">e. </w:t>
      </w:r>
      <w:proofErr w:type="spellStart"/>
      <w:r w:rsidR="00567FBF">
        <w:t>w</w:t>
      </w:r>
      <w:r>
        <w:t>hole</w:t>
      </w:r>
      <w:proofErr w:type="spellEnd"/>
      <w:r>
        <w:t xml:space="preserve"> </w:t>
      </w:r>
      <w:proofErr w:type="spellStart"/>
      <w:r>
        <w:t>genome</w:t>
      </w:r>
      <w:proofErr w:type="spellEnd"/>
      <w:r>
        <w:t xml:space="preserve"> </w:t>
      </w:r>
      <w:proofErr w:type="spellStart"/>
      <w:r>
        <w:t>sequencing</w:t>
      </w:r>
      <w:proofErr w:type="spellEnd"/>
      <w:r w:rsidR="00567FBF">
        <w:t xml:space="preserve"> (</w:t>
      </w:r>
      <w:r>
        <w:t>WGS</w:t>
      </w:r>
      <w:r w:rsidR="00567FBF">
        <w:t>)</w:t>
      </w:r>
      <w:r>
        <w:t>) er sú rannsóknaraðferð sem í dag er talin best til að rannsaka uppruna og dreifingu sýklalyfjaónæmra baktería. Fram til þessa hefur heilgenaraðgreining ekki verið notuð markvisst við rannsóknir á sýklalyfjaónæmum bakteríum á Íslandi. Áætlað er að á næstu árum verði notkun WGS við næmisprófanir lögboðin að hluta innan Evrópusambandsins. Því er mikilvægt að þessi rannsóknaraðferð verði opinberlega innleidd í rannsóknum á sýklalyfjaónæmum bakteríum hér á landi.</w:t>
      </w:r>
    </w:p>
    <w:p w14:paraId="107B2F97" w14:textId="5FB45BF8" w:rsidR="00205DAE" w:rsidRPr="00A43748" w:rsidRDefault="00851ED3" w:rsidP="00851ED3">
      <w:pPr>
        <w:rPr>
          <w:b/>
          <w:bCs/>
        </w:rPr>
      </w:pPr>
      <w:r>
        <w:t>Til að bæta þekkingu á sýklalyfjaónæmi með vöktun og vísindarannsóknum eru sett fram sex markmið</w:t>
      </w:r>
      <w:r w:rsidR="001B5C74">
        <w:t>:</w:t>
      </w:r>
    </w:p>
    <w:p w14:paraId="60DD60E3" w14:textId="4C793F8E" w:rsidR="00205DAE" w:rsidRPr="00D41B5D" w:rsidRDefault="00205DAE" w:rsidP="00567FBF">
      <w:pPr>
        <w:pStyle w:val="Mlsgreinlista"/>
        <w:numPr>
          <w:ilvl w:val="0"/>
          <w:numId w:val="52"/>
        </w:numPr>
      </w:pPr>
      <w:r w:rsidRPr="00D41B5D">
        <w:t xml:space="preserve">Samræma tilkynningar- og skráningarskyldu á sýklalyfjaónæmum bakteríum í anda </w:t>
      </w:r>
      <w:r w:rsidR="00FA2A6C">
        <w:t>e</w:t>
      </w:r>
      <w:r w:rsidRPr="00D41B5D">
        <w:t>innar heilsu hjá</w:t>
      </w:r>
      <w:r w:rsidR="00F31CE8">
        <w:t xml:space="preserve"> </w:t>
      </w:r>
      <w:r w:rsidRPr="00D41B5D">
        <w:t>mönnum, dýrum, í matvælum og umhverfi</w:t>
      </w:r>
      <w:r w:rsidR="00FA2A6C">
        <w:t>nu</w:t>
      </w:r>
      <w:r w:rsidRPr="00D41B5D">
        <w:t>.</w:t>
      </w:r>
    </w:p>
    <w:p w14:paraId="27DAC4AD" w14:textId="531FB55B" w:rsidR="00205DAE" w:rsidRPr="00D41B5D" w:rsidRDefault="00205DAE" w:rsidP="00567FBF">
      <w:pPr>
        <w:pStyle w:val="Mlsgreinlista"/>
        <w:numPr>
          <w:ilvl w:val="0"/>
          <w:numId w:val="52"/>
        </w:numPr>
      </w:pPr>
      <w:r w:rsidRPr="00D41B5D">
        <w:t>Bæta yfirsýn og þekkingu á útbreiðslu sýklalyfjaónæmra baktería hjá mönnum.</w:t>
      </w:r>
    </w:p>
    <w:p w14:paraId="0EB7DD05" w14:textId="2F86C46F" w:rsidR="00205DAE" w:rsidRPr="00D41B5D" w:rsidRDefault="00205DAE" w:rsidP="00567FBF">
      <w:pPr>
        <w:pStyle w:val="Mlsgreinlista"/>
        <w:numPr>
          <w:ilvl w:val="0"/>
          <w:numId w:val="52"/>
        </w:numPr>
      </w:pPr>
      <w:r w:rsidRPr="00D41B5D">
        <w:t>Bæta yfirsýn og þekkingu á útbreiðslu sýklalyfjaónæmra baktería hjá dýrum og í matvælum.</w:t>
      </w:r>
    </w:p>
    <w:p w14:paraId="3EA6B6D3" w14:textId="6A3B57BB" w:rsidR="00205DAE" w:rsidRPr="00D41B5D" w:rsidRDefault="00205DAE" w:rsidP="00567FBF">
      <w:pPr>
        <w:pStyle w:val="Mlsgreinlista"/>
        <w:numPr>
          <w:ilvl w:val="0"/>
          <w:numId w:val="52"/>
        </w:numPr>
      </w:pPr>
      <w:r w:rsidRPr="00D41B5D">
        <w:t>Bæta yfirsýn og þekkingu á útbreiðslu sýklalyfjaónæmra baktería og sýklalyfjaleifa í umhverfi</w:t>
      </w:r>
      <w:r w:rsidR="00FA2A6C">
        <w:t>nu</w:t>
      </w:r>
      <w:r w:rsidRPr="00D41B5D">
        <w:t>.</w:t>
      </w:r>
    </w:p>
    <w:p w14:paraId="1CC0845C" w14:textId="53D67EDE" w:rsidR="00205DAE" w:rsidRPr="00D41B5D" w:rsidRDefault="00205DAE" w:rsidP="00567FBF">
      <w:pPr>
        <w:pStyle w:val="Mlsgreinlista"/>
        <w:numPr>
          <w:ilvl w:val="0"/>
          <w:numId w:val="52"/>
        </w:numPr>
      </w:pPr>
      <w:r w:rsidRPr="00D41B5D">
        <w:t xml:space="preserve">Efla grunnrannsóknir á sýklalyfjaónæmi í anda </w:t>
      </w:r>
      <w:r w:rsidR="00492638">
        <w:t>e</w:t>
      </w:r>
      <w:r w:rsidRPr="00D41B5D">
        <w:t>innar heilsu.</w:t>
      </w:r>
    </w:p>
    <w:p w14:paraId="20A290BF" w14:textId="07D11266" w:rsidR="00205DAE" w:rsidRPr="00E6082C" w:rsidRDefault="00205DAE" w:rsidP="00567FBF">
      <w:pPr>
        <w:pStyle w:val="Mlsgreinlista"/>
        <w:numPr>
          <w:ilvl w:val="0"/>
          <w:numId w:val="52"/>
        </w:numPr>
      </w:pPr>
      <w:r w:rsidRPr="00D41B5D">
        <w:t xml:space="preserve">Efla heilgenaraðgreiningar á sýklalyfjaónæmum bakteríum í anda </w:t>
      </w:r>
      <w:r w:rsidR="00492638">
        <w:t>e</w:t>
      </w:r>
      <w:r w:rsidRPr="00D41B5D">
        <w:t>innar heilsu</w:t>
      </w:r>
      <w:r w:rsidRPr="00E6082C">
        <w:t>.</w:t>
      </w:r>
    </w:p>
    <w:p w14:paraId="1797A244" w14:textId="3FC33346" w:rsidR="00205DAE" w:rsidRDefault="00205DAE" w:rsidP="00205DAE">
      <w:bookmarkStart w:id="32" w:name="_Ref151631468"/>
      <w:bookmarkStart w:id="33" w:name="_Toc155265957"/>
      <w:r>
        <w:t xml:space="preserve">Samtals eru tilgreind 17 verkefni til þess að ná ofangreindum markmiðum. Af þeim eru tíu í forgangshópi eitt, sex í forgangshópi tvö og eitt í forgangshópi þrjú. Heildarkostnaður áranna 2025–2029 er áætlaður um 768 </w:t>
      </w:r>
      <w:proofErr w:type="spellStart"/>
      <w:r w:rsidR="004971D0">
        <w:t>millj</w:t>
      </w:r>
      <w:proofErr w:type="spellEnd"/>
      <w:r w:rsidR="004971D0">
        <w:t xml:space="preserve">. kr. </w:t>
      </w:r>
      <w:r>
        <w:t xml:space="preserve">en er nokkuð breytilegur milli ára. </w:t>
      </w:r>
    </w:p>
    <w:p w14:paraId="2F38CAFE" w14:textId="77777777" w:rsidR="00205DAE" w:rsidRDefault="00205DAE" w:rsidP="00205DAE">
      <w:r>
        <w:t>Helstu ábyrgðaraðilar þessara verkefna eru matvælaráðuneyti (sex verkefni), sóttvarnalæknir (þrjú verkefni), Umhverfisstofnun (þrjú verkefni), heilbrigðisráðuneyti (tvö verkefni), Matvælastofnun (tvö verkefni) og Landspítali (eitt verkefni). Einnig koma fjölmargir aðrir aðilar að verkefnunum.</w:t>
      </w:r>
    </w:p>
    <w:p w14:paraId="2D991FA6" w14:textId="77777777" w:rsidR="003E329E" w:rsidRDefault="003E329E" w:rsidP="003E329E">
      <w:pPr>
        <w:pStyle w:val="Millifyrirsgn2"/>
      </w:pPr>
      <w:bookmarkStart w:id="34" w:name="_Toc156474948"/>
      <w:bookmarkStart w:id="35" w:name="_Toc156549520"/>
    </w:p>
    <w:p w14:paraId="30D04645" w14:textId="22728556" w:rsidR="00205DAE" w:rsidRPr="00851ED3" w:rsidRDefault="007726F3" w:rsidP="003E329E">
      <w:pPr>
        <w:pStyle w:val="Millifyrirsgn2"/>
        <w:rPr>
          <w:bCs/>
        </w:rPr>
      </w:pPr>
      <w:r>
        <w:t>3</w:t>
      </w:r>
      <w:r w:rsidR="003E329E">
        <w:t>.4</w:t>
      </w:r>
      <w:r w:rsidR="001700AB">
        <w:t>.</w:t>
      </w:r>
      <w:r w:rsidR="003E329E">
        <w:t xml:space="preserve"> </w:t>
      </w:r>
      <w:r w:rsidR="00205DAE" w:rsidRPr="00851ED3">
        <w:t>Hefta útbreiðslu sýklalyfjaónæmis með íhlutandi aðgerðum</w:t>
      </w:r>
      <w:bookmarkEnd w:id="32"/>
      <w:bookmarkEnd w:id="33"/>
      <w:bookmarkEnd w:id="34"/>
      <w:bookmarkEnd w:id="35"/>
      <w:r w:rsidR="003E329E">
        <w:t>.</w:t>
      </w:r>
    </w:p>
    <w:p w14:paraId="25FBCDE4" w14:textId="1A37F794" w:rsidR="00851ED3" w:rsidRPr="00851ED3" w:rsidRDefault="00851ED3" w:rsidP="00851ED3">
      <w:pPr>
        <w:rPr>
          <w:lang w:val="is"/>
        </w:rPr>
      </w:pPr>
      <w:r w:rsidRPr="00851ED3">
        <w:rPr>
          <w:lang w:val="is"/>
        </w:rPr>
        <w:t>Sýklalyfjaónæmar bakteríur geta fundist í sýnum frá mönnum, dýrum, í matvælum eða umhverfi</w:t>
      </w:r>
      <w:r w:rsidR="00FA2A6C">
        <w:rPr>
          <w:lang w:val="is"/>
        </w:rPr>
        <w:t>nu</w:t>
      </w:r>
      <w:r w:rsidRPr="00851ED3">
        <w:rPr>
          <w:lang w:val="is"/>
        </w:rPr>
        <w:t xml:space="preserve"> sem tekin eru vegna einstaklingsbundinna sýkinga, skimunar eða reglubundinnar vöktunar. Mikilvægt er að í slíkum tilfellum séu til leiðbeiningar um hvort þörf sé á tiltekinni meðferð og/eða aðgerðum til að uppræta þessar ónæmu bakteríur og/eða hindra útbreiðslu þeirra.</w:t>
      </w:r>
    </w:p>
    <w:p w14:paraId="1C5BF05A" w14:textId="24768CA7" w:rsidR="00205DAE" w:rsidRDefault="00851ED3" w:rsidP="00D41B5D">
      <w:pPr>
        <w:rPr>
          <w:lang w:val="is"/>
        </w:rPr>
      </w:pPr>
      <w:r w:rsidRPr="00851ED3">
        <w:rPr>
          <w:lang w:val="is"/>
        </w:rPr>
        <w:t>Til að hefta útbreiðslu sýklalyfjaónæmis með íhlutandi aðgerðum eru sett fram fimm markmið:</w:t>
      </w:r>
    </w:p>
    <w:p w14:paraId="23B70E5B" w14:textId="53D1AD76" w:rsidR="00D41B5D" w:rsidRDefault="00205DAE" w:rsidP="00567FBF">
      <w:pPr>
        <w:pStyle w:val="Tlusetturlisti"/>
        <w:numPr>
          <w:ilvl w:val="0"/>
          <w:numId w:val="53"/>
        </w:numPr>
        <w:spacing w:line="240" w:lineRule="auto"/>
        <w:rPr>
          <w:rFonts w:ascii="Times New Roman" w:eastAsia="Calibri" w:hAnsi="Times New Roman" w:cs="Times New Roman"/>
          <w:sz w:val="21"/>
          <w:szCs w:val="22"/>
          <w:lang w:val="is"/>
        </w:rPr>
      </w:pPr>
      <w:r w:rsidRPr="00D41B5D">
        <w:rPr>
          <w:rFonts w:ascii="Times New Roman" w:eastAsia="Calibri" w:hAnsi="Times New Roman" w:cs="Times New Roman"/>
          <w:sz w:val="21"/>
          <w:szCs w:val="22"/>
          <w:lang w:val="is"/>
        </w:rPr>
        <w:t xml:space="preserve">Tryggja viðeigandi viðbrögð við greiningu tiltekinna ónæmra baktería hjá mönnum með gerð leiðbeininga. </w:t>
      </w:r>
    </w:p>
    <w:p w14:paraId="0F1AE0A4" w14:textId="10B64745" w:rsidR="00D41B5D" w:rsidRDefault="00205DAE" w:rsidP="00567FBF">
      <w:pPr>
        <w:pStyle w:val="Tlusetturlisti"/>
        <w:numPr>
          <w:ilvl w:val="0"/>
          <w:numId w:val="53"/>
        </w:numPr>
        <w:spacing w:line="240" w:lineRule="auto"/>
        <w:rPr>
          <w:rFonts w:ascii="Times New Roman" w:eastAsia="Calibri" w:hAnsi="Times New Roman" w:cs="Times New Roman"/>
          <w:sz w:val="21"/>
          <w:szCs w:val="22"/>
          <w:lang w:val="is"/>
        </w:rPr>
      </w:pPr>
      <w:r w:rsidRPr="00D41B5D">
        <w:rPr>
          <w:rFonts w:ascii="Times New Roman" w:eastAsia="Calibri" w:hAnsi="Times New Roman" w:cs="Times New Roman"/>
          <w:sz w:val="21"/>
          <w:szCs w:val="22"/>
          <w:lang w:val="is"/>
        </w:rPr>
        <w:t>Tryggja viðeigandi viðbrögð við greiningu tiltekinna ónæmra baktería hjá dýrum með gerð leiðbeininga.</w:t>
      </w:r>
    </w:p>
    <w:p w14:paraId="1B64D1CA" w14:textId="3BD8DAF0" w:rsidR="00D41B5D" w:rsidRDefault="00205DAE" w:rsidP="00567FBF">
      <w:pPr>
        <w:pStyle w:val="Tlusetturlisti"/>
        <w:numPr>
          <w:ilvl w:val="0"/>
          <w:numId w:val="53"/>
        </w:numPr>
        <w:spacing w:line="240" w:lineRule="auto"/>
        <w:rPr>
          <w:rFonts w:ascii="Times New Roman" w:eastAsia="Calibri" w:hAnsi="Times New Roman" w:cs="Times New Roman"/>
          <w:sz w:val="21"/>
          <w:szCs w:val="22"/>
          <w:lang w:val="is"/>
        </w:rPr>
      </w:pPr>
      <w:r w:rsidRPr="00D41B5D">
        <w:rPr>
          <w:rFonts w:ascii="Times New Roman" w:eastAsia="Calibri" w:hAnsi="Times New Roman" w:cs="Times New Roman"/>
          <w:sz w:val="21"/>
          <w:szCs w:val="22"/>
          <w:lang w:val="is"/>
        </w:rPr>
        <w:t>Tryggja viðeigandi viðbrögð við greiningu tiltekinna ónæmra baktería í matvælum með gerð leiðbeininga.</w:t>
      </w:r>
    </w:p>
    <w:p w14:paraId="7D35433F" w14:textId="0953FDDC" w:rsidR="00D41B5D" w:rsidRDefault="00205DAE" w:rsidP="00567FBF">
      <w:pPr>
        <w:pStyle w:val="Tlusetturlisti"/>
        <w:numPr>
          <w:ilvl w:val="0"/>
          <w:numId w:val="53"/>
        </w:numPr>
        <w:spacing w:line="240" w:lineRule="auto"/>
        <w:rPr>
          <w:rFonts w:ascii="Times New Roman" w:eastAsia="Calibri" w:hAnsi="Times New Roman" w:cs="Times New Roman"/>
          <w:sz w:val="21"/>
          <w:szCs w:val="22"/>
          <w:lang w:val="is"/>
        </w:rPr>
      </w:pPr>
      <w:r w:rsidRPr="00D41B5D">
        <w:rPr>
          <w:rFonts w:ascii="Times New Roman" w:eastAsia="Calibri" w:hAnsi="Times New Roman" w:cs="Times New Roman"/>
          <w:sz w:val="21"/>
          <w:szCs w:val="22"/>
          <w:lang w:val="is"/>
        </w:rPr>
        <w:lastRenderedPageBreak/>
        <w:t xml:space="preserve">Hreinsa </w:t>
      </w:r>
      <w:proofErr w:type="spellStart"/>
      <w:r w:rsidRPr="00D41B5D">
        <w:rPr>
          <w:rFonts w:ascii="Times New Roman" w:eastAsia="Calibri" w:hAnsi="Times New Roman" w:cs="Times New Roman"/>
          <w:sz w:val="21"/>
          <w:szCs w:val="22"/>
          <w:lang w:val="is"/>
        </w:rPr>
        <w:t>skólp</w:t>
      </w:r>
      <w:proofErr w:type="spellEnd"/>
      <w:r w:rsidRPr="00D41B5D">
        <w:rPr>
          <w:rFonts w:ascii="Times New Roman" w:eastAsia="Calibri" w:hAnsi="Times New Roman" w:cs="Times New Roman"/>
          <w:sz w:val="21"/>
          <w:szCs w:val="22"/>
          <w:lang w:val="is"/>
        </w:rPr>
        <w:t xml:space="preserve"> með viðeigandi hætti til að minnka útbreiðslu á tilteknum sýklalyfjaónæmum bakteríum.</w:t>
      </w:r>
    </w:p>
    <w:p w14:paraId="6E0A166E" w14:textId="5667F1B1" w:rsidR="00205DAE" w:rsidRPr="00D41B5D" w:rsidRDefault="00205DAE" w:rsidP="00567FBF">
      <w:pPr>
        <w:pStyle w:val="Tlusetturlisti"/>
        <w:numPr>
          <w:ilvl w:val="0"/>
          <w:numId w:val="53"/>
        </w:numPr>
        <w:spacing w:line="240" w:lineRule="auto"/>
        <w:rPr>
          <w:rFonts w:ascii="Times New Roman" w:eastAsia="Calibri" w:hAnsi="Times New Roman" w:cs="Times New Roman"/>
          <w:sz w:val="21"/>
          <w:szCs w:val="22"/>
          <w:lang w:val="is"/>
        </w:rPr>
      </w:pPr>
      <w:r w:rsidRPr="00D41B5D">
        <w:rPr>
          <w:rFonts w:ascii="Times New Roman" w:eastAsia="Calibri" w:hAnsi="Times New Roman" w:cs="Times New Roman"/>
          <w:sz w:val="21"/>
          <w:szCs w:val="22"/>
          <w:lang w:val="is"/>
        </w:rPr>
        <w:t>Tryggja viðeigandi viðbrögð við greiningu tiltekinna ónæmra baktería eða sýklalyfjaleifa í umhverfi</w:t>
      </w:r>
      <w:r w:rsidR="00FA2A6C">
        <w:rPr>
          <w:rFonts w:ascii="Times New Roman" w:eastAsia="Calibri" w:hAnsi="Times New Roman" w:cs="Times New Roman"/>
          <w:sz w:val="21"/>
          <w:szCs w:val="22"/>
          <w:lang w:val="is"/>
        </w:rPr>
        <w:t>nu</w:t>
      </w:r>
      <w:r w:rsidRPr="00D41B5D">
        <w:rPr>
          <w:rFonts w:ascii="Times New Roman" w:eastAsia="Calibri" w:hAnsi="Times New Roman" w:cs="Times New Roman"/>
          <w:sz w:val="21"/>
          <w:szCs w:val="22"/>
          <w:lang w:val="is"/>
        </w:rPr>
        <w:t xml:space="preserve"> með gerð leiðbeininga.</w:t>
      </w:r>
    </w:p>
    <w:p w14:paraId="140B69D5" w14:textId="78066EFC" w:rsidR="00205DAE" w:rsidRPr="00E6082C" w:rsidRDefault="00205DAE" w:rsidP="00205DAE">
      <w:pPr>
        <w:rPr>
          <w:lang w:val="is"/>
        </w:rPr>
      </w:pPr>
      <w:r w:rsidRPr="00E6082C">
        <w:rPr>
          <w:lang w:val="is"/>
        </w:rPr>
        <w:t xml:space="preserve">Samtals eru tilgreind sjö verkefni til þess að ná ofangreindum markmiðum. Af þeim eru þrjú í forgangshópi eitt og fjögur í forgangshópi tvö. Heildarkostnaður verkefnanna á tímabilinu 2025–2029 er áætlaður </w:t>
      </w:r>
      <w:r>
        <w:rPr>
          <w:lang w:val="is"/>
        </w:rPr>
        <w:t xml:space="preserve">um 50 </w:t>
      </w:r>
      <w:proofErr w:type="spellStart"/>
      <w:r w:rsidR="004971D0">
        <w:rPr>
          <w:lang w:val="is"/>
        </w:rPr>
        <w:t>millj</w:t>
      </w:r>
      <w:proofErr w:type="spellEnd"/>
      <w:r w:rsidR="004971D0">
        <w:rPr>
          <w:lang w:val="is"/>
        </w:rPr>
        <w:t>. kr</w:t>
      </w:r>
      <w:r>
        <w:rPr>
          <w:lang w:val="is"/>
        </w:rPr>
        <w:t>.</w:t>
      </w:r>
    </w:p>
    <w:p w14:paraId="14E7CB33" w14:textId="77777777" w:rsidR="00205DAE" w:rsidRPr="00E6082C" w:rsidRDefault="00205DAE" w:rsidP="00205DAE">
      <w:pPr>
        <w:rPr>
          <w:lang w:val="is"/>
        </w:rPr>
      </w:pPr>
      <w:r w:rsidRPr="00E6082C">
        <w:rPr>
          <w:lang w:val="is"/>
        </w:rPr>
        <w:t>Ábyrgðaraðilar þeirra sjö verkefna sem heyra undir aðgerð fjögur eru Matvælastofnun (þrjú verkefni), Umhverfisstofnun (tvö verkefni), sóttvarnalæknir (eitt verkefni) og umhverfis-, orku- og loftslagsráðuneyti (eitt verkefni). Auk þess koma ýmsir aðrir aðilar að verkefnunum.</w:t>
      </w:r>
    </w:p>
    <w:p w14:paraId="4E067012" w14:textId="77777777" w:rsidR="003E329E" w:rsidRDefault="003E329E" w:rsidP="003E329E">
      <w:pPr>
        <w:pStyle w:val="Millifyrirsgn2"/>
      </w:pPr>
      <w:bookmarkStart w:id="36" w:name="_Ref151631498"/>
      <w:bookmarkStart w:id="37" w:name="_Toc155265958"/>
      <w:bookmarkStart w:id="38" w:name="_Toc156474949"/>
      <w:bookmarkStart w:id="39" w:name="_Toc156549521"/>
    </w:p>
    <w:p w14:paraId="1B6B2D8F" w14:textId="140121F0" w:rsidR="00205DAE" w:rsidRPr="008E5ACD" w:rsidRDefault="007726F3" w:rsidP="003E329E">
      <w:pPr>
        <w:pStyle w:val="Millifyrirsgn2"/>
        <w:rPr>
          <w:bCs/>
        </w:rPr>
      </w:pPr>
      <w:r>
        <w:t>3</w:t>
      </w:r>
      <w:r w:rsidR="003E329E">
        <w:t>.5</w:t>
      </w:r>
      <w:r w:rsidR="001700AB">
        <w:t>.</w:t>
      </w:r>
      <w:r w:rsidR="003E329E">
        <w:t xml:space="preserve"> </w:t>
      </w:r>
      <w:r w:rsidR="00205DAE" w:rsidRPr="008E5ACD">
        <w:t>Auka þátttöku í alþjóðlegu samstarfi um aðgerðir gegn sýklalyfjaónæmi</w:t>
      </w:r>
      <w:bookmarkEnd w:id="36"/>
      <w:bookmarkEnd w:id="37"/>
      <w:bookmarkEnd w:id="38"/>
      <w:bookmarkEnd w:id="39"/>
      <w:r w:rsidR="003E329E">
        <w:rPr>
          <w:bCs/>
        </w:rPr>
        <w:t>.</w:t>
      </w:r>
    </w:p>
    <w:p w14:paraId="703E7DED" w14:textId="65BF785D" w:rsidR="008E5ACD" w:rsidRPr="008E5ACD" w:rsidRDefault="008E5ACD" w:rsidP="00D41B5D">
      <w:pPr>
        <w:pStyle w:val="Tlusetturlisti"/>
        <w:numPr>
          <w:ilvl w:val="0"/>
          <w:numId w:val="0"/>
        </w:numPr>
        <w:spacing w:line="240" w:lineRule="auto"/>
        <w:ind w:firstLine="340"/>
        <w:jc w:val="both"/>
        <w:rPr>
          <w:rFonts w:ascii="Times New Roman" w:eastAsia="Calibri" w:hAnsi="Times New Roman" w:cs="Times New Roman"/>
          <w:sz w:val="21"/>
          <w:szCs w:val="22"/>
        </w:rPr>
      </w:pPr>
      <w:r w:rsidRPr="008E5ACD">
        <w:rPr>
          <w:rFonts w:ascii="Times New Roman" w:eastAsia="Calibri" w:hAnsi="Times New Roman" w:cs="Times New Roman"/>
          <w:sz w:val="21"/>
          <w:szCs w:val="22"/>
        </w:rPr>
        <w:t>Þar sem dreifing sýklalyfjanæmra sem og sýklalyfjaónæmra baktería virðir ekki landamæri, er mikilvægt að baráttan gegn dreifingu sýklalyfjaónæmis sé alþjóðleg. Flestar þjóðir hafa gefið út eða eru að vinna að gerð aðgerðaáætlana (</w:t>
      </w:r>
      <w:r w:rsidR="00567FBF">
        <w:rPr>
          <w:rFonts w:ascii="Times New Roman" w:eastAsia="Calibri" w:hAnsi="Times New Roman" w:cs="Times New Roman"/>
          <w:sz w:val="21"/>
          <w:szCs w:val="22"/>
        </w:rPr>
        <w:t xml:space="preserve">e. </w:t>
      </w:r>
      <w:r w:rsidRPr="008E5ACD">
        <w:rPr>
          <w:rFonts w:ascii="Times New Roman" w:eastAsia="Calibri" w:hAnsi="Times New Roman" w:cs="Times New Roman"/>
          <w:sz w:val="21"/>
          <w:szCs w:val="22"/>
        </w:rPr>
        <w:t xml:space="preserve">National Action Plans) gegn sýklalyfjaónæmi undir forystu </w:t>
      </w:r>
      <w:r w:rsidR="00F31CE8">
        <w:rPr>
          <w:rFonts w:ascii="Times New Roman" w:eastAsia="Calibri" w:hAnsi="Times New Roman" w:cs="Times New Roman"/>
          <w:sz w:val="21"/>
          <w:szCs w:val="22"/>
        </w:rPr>
        <w:t>Alþjóðaheilbrigðismálastofnunarinnar</w:t>
      </w:r>
      <w:r w:rsidR="00F31CE8" w:rsidRPr="008E5ACD">
        <w:rPr>
          <w:rFonts w:ascii="Times New Roman" w:eastAsia="Calibri" w:hAnsi="Times New Roman" w:cs="Times New Roman"/>
          <w:sz w:val="21"/>
          <w:szCs w:val="22"/>
        </w:rPr>
        <w:t xml:space="preserve"> </w:t>
      </w:r>
      <w:r w:rsidRPr="008E5ACD">
        <w:rPr>
          <w:rFonts w:ascii="Times New Roman" w:eastAsia="Calibri" w:hAnsi="Times New Roman" w:cs="Times New Roman"/>
          <w:sz w:val="21"/>
          <w:szCs w:val="22"/>
        </w:rPr>
        <w:t>og annarra alþjóðastofnana því samhæfing aðgerða á heimsvísu er nauðsynleg til að árangur náist. Auk þess veitir alþjóðlegt samstarf aðgang að rannsóknarsamstarfi og fjármunum til rannsókna hér innan</w:t>
      </w:r>
      <w:r w:rsidR="00392CAE">
        <w:rPr>
          <w:rFonts w:ascii="Times New Roman" w:eastAsia="Calibri" w:hAnsi="Times New Roman" w:cs="Times New Roman"/>
          <w:sz w:val="21"/>
          <w:szCs w:val="22"/>
        </w:rPr>
        <w:t xml:space="preserve"> </w:t>
      </w:r>
      <w:r w:rsidRPr="008E5ACD">
        <w:rPr>
          <w:rFonts w:ascii="Times New Roman" w:eastAsia="Calibri" w:hAnsi="Times New Roman" w:cs="Times New Roman"/>
          <w:sz w:val="21"/>
          <w:szCs w:val="22"/>
        </w:rPr>
        <w:t>lands sem auðveldar framkvæmd ýmissa verkefna í þessari aðgerðaáætlun.</w:t>
      </w:r>
    </w:p>
    <w:p w14:paraId="48858963" w14:textId="09423960" w:rsidR="008E5ACD" w:rsidRPr="008E5ACD" w:rsidRDefault="008E5ACD" w:rsidP="00D41B5D">
      <w:pPr>
        <w:pStyle w:val="Tlusetturlisti"/>
        <w:numPr>
          <w:ilvl w:val="0"/>
          <w:numId w:val="0"/>
        </w:numPr>
        <w:spacing w:line="240" w:lineRule="auto"/>
        <w:ind w:firstLine="340"/>
        <w:jc w:val="both"/>
        <w:rPr>
          <w:b/>
          <w:bCs/>
        </w:rPr>
      </w:pPr>
      <w:r w:rsidRPr="008E5ACD">
        <w:rPr>
          <w:rFonts w:ascii="Times New Roman" w:eastAsia="Calibri" w:hAnsi="Times New Roman" w:cs="Times New Roman"/>
          <w:sz w:val="21"/>
          <w:szCs w:val="22"/>
        </w:rPr>
        <w:t>Til að auka þátttöku í alþjóðlegu samstarfi um aðgerðir gegna sýklalyfjaónæmi eru sett þrjú markmið:</w:t>
      </w:r>
    </w:p>
    <w:p w14:paraId="6BCAC3CD" w14:textId="3B89C6CE" w:rsidR="00205DAE" w:rsidRPr="00D41B5D" w:rsidRDefault="00205DAE" w:rsidP="00567FBF">
      <w:pPr>
        <w:pStyle w:val="Tlusetturlisti"/>
        <w:numPr>
          <w:ilvl w:val="0"/>
          <w:numId w:val="49"/>
        </w:numPr>
        <w:spacing w:line="240" w:lineRule="auto"/>
        <w:rPr>
          <w:rFonts w:ascii="Times New Roman" w:eastAsia="Calibri" w:hAnsi="Times New Roman" w:cs="Times New Roman"/>
          <w:sz w:val="21"/>
          <w:szCs w:val="22"/>
        </w:rPr>
      </w:pPr>
      <w:r w:rsidRPr="00D41B5D">
        <w:rPr>
          <w:rFonts w:ascii="Times New Roman" w:eastAsia="Calibri" w:hAnsi="Times New Roman" w:cs="Times New Roman"/>
          <w:sz w:val="21"/>
          <w:szCs w:val="22"/>
        </w:rPr>
        <w:t>Efla samstarf við stofnanir Evrópusambandsins.</w:t>
      </w:r>
    </w:p>
    <w:p w14:paraId="4C767A68" w14:textId="6ED637E8" w:rsidR="00D41B5D" w:rsidRDefault="00205DAE" w:rsidP="00567FBF">
      <w:pPr>
        <w:pStyle w:val="Tlusetturlisti"/>
        <w:numPr>
          <w:ilvl w:val="0"/>
          <w:numId w:val="49"/>
        </w:numPr>
        <w:spacing w:line="240" w:lineRule="auto"/>
        <w:rPr>
          <w:rFonts w:ascii="Times New Roman" w:eastAsia="Calibri" w:hAnsi="Times New Roman" w:cs="Times New Roman"/>
          <w:sz w:val="21"/>
          <w:szCs w:val="22"/>
        </w:rPr>
      </w:pPr>
      <w:r w:rsidRPr="00D41B5D">
        <w:rPr>
          <w:rFonts w:ascii="Times New Roman" w:eastAsia="Calibri" w:hAnsi="Times New Roman" w:cs="Times New Roman"/>
          <w:sz w:val="21"/>
          <w:szCs w:val="22"/>
        </w:rPr>
        <w:t>Efla samstarf við alþjóðlegar stofnanir.</w:t>
      </w:r>
    </w:p>
    <w:p w14:paraId="44DC7BB3" w14:textId="2B2BAA21" w:rsidR="00205DAE" w:rsidRPr="00D41B5D" w:rsidRDefault="00205DAE" w:rsidP="00567FBF">
      <w:pPr>
        <w:pStyle w:val="Tlusetturlisti"/>
        <w:numPr>
          <w:ilvl w:val="0"/>
          <w:numId w:val="49"/>
        </w:numPr>
        <w:spacing w:line="240" w:lineRule="auto"/>
        <w:rPr>
          <w:rFonts w:ascii="Times New Roman" w:eastAsia="Calibri" w:hAnsi="Times New Roman" w:cs="Times New Roman"/>
          <w:sz w:val="21"/>
          <w:szCs w:val="22"/>
        </w:rPr>
      </w:pPr>
      <w:r w:rsidRPr="00D41B5D">
        <w:rPr>
          <w:rFonts w:ascii="Times New Roman" w:eastAsia="Calibri" w:hAnsi="Times New Roman" w:cs="Times New Roman"/>
          <w:sz w:val="21"/>
          <w:szCs w:val="22"/>
        </w:rPr>
        <w:t>Efla norrænt samstarf.</w:t>
      </w:r>
    </w:p>
    <w:p w14:paraId="598265FB" w14:textId="14BFA0C3" w:rsidR="00205DAE" w:rsidRPr="00E6082C" w:rsidRDefault="00205DAE" w:rsidP="00D41B5D">
      <w:r w:rsidRPr="00E6082C">
        <w:t xml:space="preserve">Samtals eru tilgreind tíu verkefni til þess að ná ofangreindum markmiðum. Af þeim eru níu í forgangshópi eitt og eitt í forgangshópi þrjú. Heildarkostnaður verkefnanna á tímabilinu 2025–2029 er áætlaður </w:t>
      </w:r>
      <w:r>
        <w:t xml:space="preserve">um 145 </w:t>
      </w:r>
      <w:proofErr w:type="spellStart"/>
      <w:r w:rsidR="004971D0">
        <w:t>millj</w:t>
      </w:r>
      <w:proofErr w:type="spellEnd"/>
      <w:r w:rsidR="004971D0">
        <w:t>. kr</w:t>
      </w:r>
      <w:r>
        <w:t>.</w:t>
      </w:r>
    </w:p>
    <w:p w14:paraId="7A8F33DC" w14:textId="0FB76A35" w:rsidR="00205DAE" w:rsidRPr="00E6082C" w:rsidRDefault="00205DAE" w:rsidP="00D41B5D">
      <w:r w:rsidRPr="00E6082C">
        <w:t xml:space="preserve">Ábyrgðaraðilar þeirra tíu verkefna sem heyra undir aðgerð fimm eru heilbrigðisráðuneytið (fjögur verkefni), sóttvarnalæknir (þrjú verkefni), Matvælastofnun (tvö verkefni) og </w:t>
      </w:r>
      <w:r>
        <w:t xml:space="preserve">matvælaráðuneytið f.h. </w:t>
      </w:r>
      <w:r w:rsidRPr="00E6082C">
        <w:t>Tilraunastöð</w:t>
      </w:r>
      <w:r>
        <w:t>var</w:t>
      </w:r>
      <w:r w:rsidRPr="00E6082C">
        <w:t xml:space="preserve"> Háskóla Íslands í meinafræði að Keldum </w:t>
      </w:r>
      <w:r w:rsidR="00C77215">
        <w:t>(eitt verkefni)</w:t>
      </w:r>
      <w:r w:rsidRPr="00E6082C">
        <w:t>. Auk þess koma fleiri aðilar að verkefnunum.</w:t>
      </w:r>
    </w:p>
    <w:p w14:paraId="73FA85D2" w14:textId="77777777" w:rsidR="003E329E" w:rsidRDefault="003E329E" w:rsidP="003E329E">
      <w:pPr>
        <w:pStyle w:val="Millifyrirsgn2"/>
      </w:pPr>
      <w:bookmarkStart w:id="40" w:name="_Ref151631520"/>
      <w:bookmarkStart w:id="41" w:name="_Toc155265959"/>
      <w:bookmarkStart w:id="42" w:name="_Toc156474950"/>
      <w:bookmarkStart w:id="43" w:name="_Toc156549522"/>
    </w:p>
    <w:p w14:paraId="62C56B6B" w14:textId="6263677C" w:rsidR="00205DAE" w:rsidRPr="008E5ACD" w:rsidRDefault="007726F3" w:rsidP="003E329E">
      <w:pPr>
        <w:pStyle w:val="Millifyrirsgn2"/>
        <w:rPr>
          <w:bCs/>
        </w:rPr>
      </w:pPr>
      <w:r>
        <w:t>3</w:t>
      </w:r>
      <w:r w:rsidR="003E329E">
        <w:t>.6</w:t>
      </w:r>
      <w:r w:rsidR="001700AB">
        <w:t>.</w:t>
      </w:r>
      <w:r w:rsidR="003E329E">
        <w:t xml:space="preserve"> </w:t>
      </w:r>
      <w:r w:rsidR="00205DAE" w:rsidRPr="008E5ACD">
        <w:t>Tryggja samhæfingu og stjórn aðgerða gegn sýklalyfjaónæmi til framtíðar</w:t>
      </w:r>
      <w:bookmarkEnd w:id="40"/>
      <w:bookmarkEnd w:id="41"/>
      <w:bookmarkEnd w:id="42"/>
      <w:bookmarkEnd w:id="43"/>
      <w:r w:rsidR="003E329E">
        <w:rPr>
          <w:bCs/>
        </w:rPr>
        <w:t>.</w:t>
      </w:r>
    </w:p>
    <w:p w14:paraId="43860DA0" w14:textId="6511E943" w:rsidR="008E5ACD" w:rsidRPr="008E5ACD" w:rsidRDefault="008E5ACD" w:rsidP="002712B5">
      <w:pPr>
        <w:pStyle w:val="Tlusetturlisti"/>
        <w:numPr>
          <w:ilvl w:val="0"/>
          <w:numId w:val="0"/>
        </w:numPr>
        <w:spacing w:line="240" w:lineRule="auto"/>
        <w:ind w:firstLine="284"/>
        <w:jc w:val="both"/>
        <w:rPr>
          <w:rFonts w:ascii="Times New Roman" w:eastAsia="Calibri" w:hAnsi="Times New Roman" w:cs="Times New Roman"/>
          <w:sz w:val="21"/>
          <w:szCs w:val="22"/>
        </w:rPr>
      </w:pPr>
      <w:r w:rsidRPr="008E5ACD">
        <w:rPr>
          <w:rFonts w:ascii="Times New Roman" w:eastAsia="Calibri" w:hAnsi="Times New Roman" w:cs="Times New Roman"/>
          <w:sz w:val="21"/>
          <w:szCs w:val="22"/>
        </w:rPr>
        <w:t xml:space="preserve">Til að tryggja góða samhæfingu og innleiðingu á þeim verkefnum sem hér eru tilgreind, er mikilvægt að þverfaglegur hópur sérfræðinga sé starfandi sem hafi það hlutverk að fylgjast með innleiðingu og framvindu verkefna aðgerðaáætlunarinnar og koma með tillögur að breytingum ef þess gerist þörf. Einnig þarf hópurinn að fylgjast með kostnaðaráætlunum í samráði við ábyrgðaraðila og árangri aðgerðaáætlunarinnar. </w:t>
      </w:r>
    </w:p>
    <w:p w14:paraId="08C58540" w14:textId="46BDBAF6" w:rsidR="008E5ACD" w:rsidRPr="008E5ACD" w:rsidRDefault="008E5ACD" w:rsidP="002712B5">
      <w:pPr>
        <w:pStyle w:val="Tlusetturlisti"/>
        <w:numPr>
          <w:ilvl w:val="0"/>
          <w:numId w:val="0"/>
        </w:numPr>
        <w:spacing w:line="240" w:lineRule="auto"/>
        <w:ind w:firstLine="284"/>
        <w:jc w:val="both"/>
        <w:rPr>
          <w:rFonts w:ascii="Times New Roman" w:eastAsia="Calibri" w:hAnsi="Times New Roman" w:cs="Times New Roman"/>
          <w:sz w:val="21"/>
          <w:szCs w:val="22"/>
        </w:rPr>
      </w:pPr>
      <w:r w:rsidRPr="008E5ACD">
        <w:rPr>
          <w:rFonts w:ascii="Times New Roman" w:eastAsia="Calibri" w:hAnsi="Times New Roman" w:cs="Times New Roman"/>
          <w:sz w:val="21"/>
          <w:szCs w:val="22"/>
        </w:rPr>
        <w:t>Þverfaglegum starfshópi sem lagði fram tillögur að aðgerðaáætlun gegn sýklalyfjaónæmi hefur verið falið að gegna þessu hlutverki og mun hann setja fram formlega áætlun um hvernig innleiðingu og framvindu verður háttað (</w:t>
      </w:r>
      <w:r w:rsidR="00567FBF">
        <w:rPr>
          <w:rFonts w:ascii="Times New Roman" w:eastAsia="Calibri" w:hAnsi="Times New Roman" w:cs="Times New Roman"/>
          <w:sz w:val="21"/>
          <w:szCs w:val="22"/>
        </w:rPr>
        <w:t xml:space="preserve">e. </w:t>
      </w:r>
      <w:proofErr w:type="spellStart"/>
      <w:r w:rsidR="00567FBF">
        <w:rPr>
          <w:rFonts w:ascii="Times New Roman" w:eastAsia="Calibri" w:hAnsi="Times New Roman" w:cs="Times New Roman"/>
          <w:sz w:val="21"/>
          <w:szCs w:val="22"/>
        </w:rPr>
        <w:t>m</w:t>
      </w:r>
      <w:r w:rsidRPr="008E5ACD">
        <w:rPr>
          <w:rFonts w:ascii="Times New Roman" w:eastAsia="Calibri" w:hAnsi="Times New Roman" w:cs="Times New Roman"/>
          <w:sz w:val="21"/>
          <w:szCs w:val="22"/>
        </w:rPr>
        <w:t>onitoring</w:t>
      </w:r>
      <w:proofErr w:type="spellEnd"/>
      <w:r w:rsidRPr="008E5ACD">
        <w:rPr>
          <w:rFonts w:ascii="Times New Roman" w:eastAsia="Calibri" w:hAnsi="Times New Roman" w:cs="Times New Roman"/>
          <w:sz w:val="21"/>
          <w:szCs w:val="22"/>
        </w:rPr>
        <w:t xml:space="preserve"> </w:t>
      </w:r>
      <w:proofErr w:type="spellStart"/>
      <w:r w:rsidRPr="008E5ACD">
        <w:rPr>
          <w:rFonts w:ascii="Times New Roman" w:eastAsia="Calibri" w:hAnsi="Times New Roman" w:cs="Times New Roman"/>
          <w:sz w:val="21"/>
          <w:szCs w:val="22"/>
        </w:rPr>
        <w:t>and</w:t>
      </w:r>
      <w:proofErr w:type="spellEnd"/>
      <w:r w:rsidRPr="008E5ACD">
        <w:rPr>
          <w:rFonts w:ascii="Times New Roman" w:eastAsia="Calibri" w:hAnsi="Times New Roman" w:cs="Times New Roman"/>
          <w:sz w:val="21"/>
          <w:szCs w:val="22"/>
        </w:rPr>
        <w:t xml:space="preserve"> </w:t>
      </w:r>
      <w:proofErr w:type="spellStart"/>
      <w:r w:rsidRPr="008E5ACD">
        <w:rPr>
          <w:rFonts w:ascii="Times New Roman" w:eastAsia="Calibri" w:hAnsi="Times New Roman" w:cs="Times New Roman"/>
          <w:sz w:val="21"/>
          <w:szCs w:val="22"/>
        </w:rPr>
        <w:t>evaluation</w:t>
      </w:r>
      <w:proofErr w:type="spellEnd"/>
      <w:r w:rsidRPr="008E5ACD">
        <w:rPr>
          <w:rFonts w:ascii="Times New Roman" w:eastAsia="Calibri" w:hAnsi="Times New Roman" w:cs="Times New Roman"/>
          <w:sz w:val="21"/>
          <w:szCs w:val="22"/>
        </w:rPr>
        <w:t xml:space="preserve"> plan).</w:t>
      </w:r>
    </w:p>
    <w:p w14:paraId="6B9A59B0" w14:textId="51AFE80D" w:rsidR="008E5ACD" w:rsidRPr="008E5ACD" w:rsidRDefault="008E5ACD" w:rsidP="002712B5">
      <w:pPr>
        <w:pStyle w:val="Tlusetturlisti"/>
        <w:numPr>
          <w:ilvl w:val="0"/>
          <w:numId w:val="0"/>
        </w:numPr>
        <w:spacing w:line="240" w:lineRule="auto"/>
        <w:ind w:firstLine="284"/>
        <w:jc w:val="both"/>
      </w:pPr>
      <w:r w:rsidRPr="008E5ACD">
        <w:rPr>
          <w:rFonts w:ascii="Times New Roman" w:eastAsia="Calibri" w:hAnsi="Times New Roman" w:cs="Times New Roman"/>
          <w:sz w:val="21"/>
          <w:szCs w:val="22"/>
        </w:rPr>
        <w:t>Í þessari aðgerð er eitt markmið</w:t>
      </w:r>
      <w:r w:rsidR="007726F3">
        <w:rPr>
          <w:rFonts w:ascii="Times New Roman" w:eastAsia="Calibri" w:hAnsi="Times New Roman" w:cs="Times New Roman"/>
          <w:sz w:val="21"/>
          <w:szCs w:val="22"/>
        </w:rPr>
        <w:t xml:space="preserve"> sem er í forgangshópi eitt</w:t>
      </w:r>
      <w:r w:rsidRPr="008E5ACD">
        <w:rPr>
          <w:rFonts w:ascii="Times New Roman" w:eastAsia="Calibri" w:hAnsi="Times New Roman" w:cs="Times New Roman"/>
          <w:sz w:val="21"/>
          <w:szCs w:val="22"/>
        </w:rPr>
        <w:t xml:space="preserve">: </w:t>
      </w:r>
    </w:p>
    <w:p w14:paraId="735351E5" w14:textId="1AE89662" w:rsidR="00205DAE" w:rsidRPr="001700AB" w:rsidRDefault="00205DAE" w:rsidP="001700AB">
      <w:pPr>
        <w:pStyle w:val="Mlsgreinlista"/>
        <w:numPr>
          <w:ilvl w:val="0"/>
          <w:numId w:val="42"/>
        </w:numPr>
        <w:rPr>
          <w:lang w:val="is"/>
        </w:rPr>
      </w:pPr>
      <w:r w:rsidRPr="001700AB">
        <w:rPr>
          <w:lang w:val="is"/>
        </w:rPr>
        <w:t>Tryggja innleiðingu og framkvæmd aðgerða gegn sýklalyfjaónæmi til framtíðar.</w:t>
      </w:r>
    </w:p>
    <w:p w14:paraId="5E79B5C7" w14:textId="64662B6A" w:rsidR="00205DAE" w:rsidRDefault="00205DAE" w:rsidP="00205DAE">
      <w:pPr>
        <w:rPr>
          <w:lang w:val="is"/>
        </w:rPr>
      </w:pPr>
      <w:r w:rsidRPr="00E6082C">
        <w:rPr>
          <w:lang w:val="is"/>
        </w:rPr>
        <w:t xml:space="preserve">Ábyrgðaraðili </w:t>
      </w:r>
      <w:r>
        <w:rPr>
          <w:lang w:val="is"/>
        </w:rPr>
        <w:t xml:space="preserve">verkefnisins </w:t>
      </w:r>
      <w:r w:rsidRPr="00E6082C">
        <w:rPr>
          <w:lang w:val="is"/>
        </w:rPr>
        <w:t xml:space="preserve">er heilbrigðisráðuneytið en matvælaráðuneytið og </w:t>
      </w:r>
      <w:bookmarkStart w:id="44" w:name="_Hlk155263857"/>
      <w:r w:rsidRPr="00E6082C">
        <w:rPr>
          <w:lang w:val="is"/>
        </w:rPr>
        <w:t>umhverfis</w:t>
      </w:r>
      <w:r>
        <w:rPr>
          <w:lang w:val="is"/>
        </w:rPr>
        <w:t>-</w:t>
      </w:r>
      <w:r w:rsidRPr="00E6082C">
        <w:rPr>
          <w:lang w:val="is"/>
        </w:rPr>
        <w:t>, orku- og loftslagsráðuneytið</w:t>
      </w:r>
      <w:bookmarkEnd w:id="44"/>
      <w:r w:rsidRPr="00E6082C">
        <w:rPr>
          <w:lang w:val="is"/>
        </w:rPr>
        <w:t xml:space="preserve"> koma einnig að </w:t>
      </w:r>
      <w:r>
        <w:rPr>
          <w:lang w:val="is"/>
        </w:rPr>
        <w:t xml:space="preserve">samhæfingu og </w:t>
      </w:r>
      <w:r w:rsidRPr="00E6082C">
        <w:rPr>
          <w:lang w:val="is"/>
        </w:rPr>
        <w:t>stjórnun aðgerða.</w:t>
      </w:r>
    </w:p>
    <w:p w14:paraId="51FCBEA7" w14:textId="69856792" w:rsidR="00F96C08" w:rsidRDefault="00205DAE" w:rsidP="00205DAE">
      <w:r>
        <w:rPr>
          <w:lang w:val="is"/>
        </w:rPr>
        <w:t xml:space="preserve">Kostnaður við skipan þverfaglegs hóps sérfræðinga til að tryggja samhæfingu og stjórn aðgerða til framtíðar er áætlaður um 27 </w:t>
      </w:r>
      <w:proofErr w:type="spellStart"/>
      <w:r w:rsidR="004971D0">
        <w:rPr>
          <w:lang w:val="is"/>
        </w:rPr>
        <w:t>millj</w:t>
      </w:r>
      <w:proofErr w:type="spellEnd"/>
      <w:r w:rsidR="004971D0">
        <w:rPr>
          <w:lang w:val="is"/>
        </w:rPr>
        <w:t xml:space="preserve">. kr. </w:t>
      </w:r>
      <w:r>
        <w:rPr>
          <w:lang w:val="is"/>
        </w:rPr>
        <w:t>á tímabilinu 2025</w:t>
      </w:r>
      <w:r w:rsidR="00F31CE8">
        <w:rPr>
          <w:lang w:val="is"/>
        </w:rPr>
        <w:t>–</w:t>
      </w:r>
      <w:r>
        <w:rPr>
          <w:lang w:val="is"/>
        </w:rPr>
        <w:t>2029. Stærsti kostnaðurinn fellur á heilbrigðisráðuneytið en mun hluti kostnaðar falla á matvæla</w:t>
      </w:r>
      <w:r w:rsidR="00F31CE8">
        <w:rPr>
          <w:lang w:val="is"/>
        </w:rPr>
        <w:t>ráðuneyti</w:t>
      </w:r>
      <w:r>
        <w:rPr>
          <w:lang w:val="is"/>
        </w:rPr>
        <w:t xml:space="preserve"> og umhverfis-</w:t>
      </w:r>
      <w:r>
        <w:t>, orku- og loftslagsráðuneyti.</w:t>
      </w:r>
    </w:p>
    <w:p w14:paraId="2697672B" w14:textId="77777777" w:rsidR="00DD408C" w:rsidRDefault="00DD408C" w:rsidP="00437779">
      <w:pPr>
        <w:ind w:firstLine="0"/>
        <w:rPr>
          <w:szCs w:val="21"/>
        </w:rPr>
      </w:pPr>
      <w:bookmarkStart w:id="45" w:name="_Toc155265961"/>
      <w:bookmarkStart w:id="46" w:name="_Toc156474952"/>
      <w:bookmarkStart w:id="47" w:name="_Toc156549524"/>
      <w:bookmarkStart w:id="48" w:name="_Ref151628955"/>
    </w:p>
    <w:p w14:paraId="15C42F93" w14:textId="28B6145E" w:rsidR="00F96C08" w:rsidRPr="003E329E" w:rsidRDefault="003E329E" w:rsidP="003E329E">
      <w:pPr>
        <w:pStyle w:val="Millifyrirsgn1"/>
        <w:rPr>
          <w:bCs/>
        </w:rPr>
      </w:pPr>
      <w:r>
        <w:rPr>
          <w:bCs/>
        </w:rPr>
        <w:t>4</w:t>
      </w:r>
      <w:r w:rsidR="00DD408C" w:rsidRPr="00DD408C">
        <w:rPr>
          <w:bCs/>
        </w:rPr>
        <w:t xml:space="preserve">. </w:t>
      </w:r>
      <w:r w:rsidR="00DD408C">
        <w:rPr>
          <w:bCs/>
        </w:rPr>
        <w:t>Ábyrgðaraðilar og aðrir aðilar aðgerða/verkefna</w:t>
      </w:r>
      <w:r>
        <w:rPr>
          <w:bCs/>
        </w:rPr>
        <w:t>.</w:t>
      </w:r>
    </w:p>
    <w:p w14:paraId="7873ED45" w14:textId="313568CA" w:rsidR="00DD408C" w:rsidRPr="00DD408C" w:rsidRDefault="00DD408C" w:rsidP="00DD408C">
      <w:bookmarkStart w:id="49" w:name="_Ref151629026"/>
      <w:bookmarkStart w:id="50" w:name="_Toc155265962"/>
      <w:bookmarkStart w:id="51" w:name="_Toc156474953"/>
      <w:bookmarkStart w:id="52" w:name="_Toc156549525"/>
      <w:bookmarkEnd w:id="45"/>
      <w:bookmarkEnd w:id="46"/>
      <w:bookmarkEnd w:id="47"/>
      <w:bookmarkEnd w:id="48"/>
      <w:r w:rsidRPr="00DD408C">
        <w:t xml:space="preserve">Ábyrgðaraðilar fyrir hverju verkefni eru tilgreindir í aðgerðaáætluninni. Þeim er ætlað að sjá til þess að verkefnin verði framkvæmd innan tilgreinds tímaramma og jafnframt að leggja mat á kostnað við útfærslu þeirra, bæði grunn- og viðbótarkostnað. Í mörgum tilfellum munu ábyrgðaraðilar ekki sjálfir vinna að útfærslu eða framkvæmd verkefnanna heldur sjá til þess að þau verði unnin af öðrum samstarfsaðilum. </w:t>
      </w:r>
    </w:p>
    <w:p w14:paraId="12627777" w14:textId="77777777" w:rsidR="00DD408C" w:rsidRPr="00DD408C" w:rsidRDefault="00DD408C" w:rsidP="00DD408C">
      <w:r w:rsidRPr="00DD408C">
        <w:t xml:space="preserve">Aðrir aðilar í samvinnu við ábyrgðaraðila koma einnig að flestum verkefnunum og eru þeir tilgreindir í áætluninni. Það útilokar þó ekki aðkomu annarra sem ábyrgðaraðilar telja nauðsynlega. </w:t>
      </w:r>
    </w:p>
    <w:p w14:paraId="00F0A194" w14:textId="14F077BF" w:rsidR="00DD408C" w:rsidRDefault="00DD408C" w:rsidP="00DD408C">
      <w:r w:rsidRPr="00DD408C">
        <w:lastRenderedPageBreak/>
        <w:t xml:space="preserve">Af þeim 75 verkefnum sem tilgreind eru í aðgerðaáætluninni eru 41 verkefni á ábyrgð </w:t>
      </w:r>
      <w:r w:rsidR="00D41B5D">
        <w:t>heilbrigðisráðuneyti</w:t>
      </w:r>
      <w:r w:rsidRPr="00DD408C">
        <w:t xml:space="preserve"> og stofnana þess, 28 á ábyrgð </w:t>
      </w:r>
      <w:r w:rsidR="00D41B5D">
        <w:t>matvælaráðuneytis</w:t>
      </w:r>
      <w:r w:rsidRPr="00DD408C">
        <w:t xml:space="preserve"> og stofnana þess, og sex á ábyrgð </w:t>
      </w:r>
      <w:r w:rsidR="00CA1832">
        <w:t>umhverfis-, orku- og loftslagsráðuneytis og Umhverfisstofnunar</w:t>
      </w:r>
      <w:r w:rsidRPr="00DD408C">
        <w:t xml:space="preserve">. </w:t>
      </w:r>
    </w:p>
    <w:p w14:paraId="4B46E00B" w14:textId="77777777" w:rsidR="00DD408C" w:rsidRDefault="00DD408C" w:rsidP="00DD408C"/>
    <w:p w14:paraId="344003DF" w14:textId="10CA270F" w:rsidR="00DD408C" w:rsidRDefault="003E329E" w:rsidP="003E329E">
      <w:pPr>
        <w:pStyle w:val="Millifyrirsgn1"/>
      </w:pPr>
      <w:r>
        <w:t>5</w:t>
      </w:r>
      <w:r w:rsidR="00DD408C">
        <w:t>. Forgangsröðun verkefna</w:t>
      </w:r>
      <w:r>
        <w:t>.</w:t>
      </w:r>
    </w:p>
    <w:p w14:paraId="635FE655" w14:textId="77777777" w:rsidR="001700AB" w:rsidRDefault="00DD408C" w:rsidP="001700AB">
      <w:bookmarkStart w:id="53" w:name="_Ref151629054"/>
      <w:bookmarkStart w:id="54" w:name="_Toc155265963"/>
      <w:bookmarkStart w:id="55" w:name="_Toc156474954"/>
      <w:bookmarkStart w:id="56" w:name="_Toc156549526"/>
      <w:bookmarkEnd w:id="49"/>
      <w:bookmarkEnd w:id="50"/>
      <w:bookmarkEnd w:id="51"/>
      <w:bookmarkEnd w:id="52"/>
      <w:r w:rsidRPr="00DD408C">
        <w:t>Verkefnum aðgerðaáætlunarinnar er forgangsraðað í þrjá flokka þar sem að forgangur einn tekur til verkefna sem taldir eru mest áríðandi að hrinda í framkvæmd. Forgangsröðunin tekur tillit til eftirfarandi þátta:</w:t>
      </w:r>
    </w:p>
    <w:p w14:paraId="27734AEA" w14:textId="77777777" w:rsidR="001700AB" w:rsidRDefault="00DD408C" w:rsidP="00567FBF">
      <w:pPr>
        <w:pStyle w:val="Mlsgreinlista"/>
        <w:numPr>
          <w:ilvl w:val="0"/>
          <w:numId w:val="54"/>
        </w:numPr>
      </w:pPr>
      <w:r w:rsidRPr="00DD408C">
        <w:t>Er líklegt að verkefnið skili góðum árangri til að hindra útbreiðslu sýklalyfjaónæmra baktería?</w:t>
      </w:r>
    </w:p>
    <w:p w14:paraId="3FA010BA" w14:textId="77777777" w:rsidR="001700AB" w:rsidRDefault="00DD408C" w:rsidP="00567FBF">
      <w:pPr>
        <w:pStyle w:val="Mlsgreinlista"/>
        <w:numPr>
          <w:ilvl w:val="0"/>
          <w:numId w:val="54"/>
        </w:numPr>
      </w:pPr>
      <w:r w:rsidRPr="00DD408C">
        <w:t>Er líklegt að hægt verði að hrinda verkefninu í framkvæmd á næstu tveimur árum, fimm árum eða síðar?</w:t>
      </w:r>
    </w:p>
    <w:p w14:paraId="0A851FE6" w14:textId="77777777" w:rsidR="001700AB" w:rsidRDefault="00DD408C" w:rsidP="00567FBF">
      <w:pPr>
        <w:pStyle w:val="Mlsgreinlista"/>
        <w:numPr>
          <w:ilvl w:val="0"/>
          <w:numId w:val="54"/>
        </w:numPr>
      </w:pPr>
      <w:r w:rsidRPr="00DD408C">
        <w:t>Er verkefnið þegar hafið en ekki tekist að ljúka?</w:t>
      </w:r>
    </w:p>
    <w:p w14:paraId="003A6DF9" w14:textId="1EFA7C74" w:rsidR="00DD408C" w:rsidRPr="00DD408C" w:rsidRDefault="00DD408C" w:rsidP="00567FBF">
      <w:pPr>
        <w:pStyle w:val="Mlsgreinlista"/>
        <w:numPr>
          <w:ilvl w:val="0"/>
          <w:numId w:val="54"/>
        </w:numPr>
      </w:pPr>
      <w:r w:rsidRPr="00DD408C">
        <w:t>Er verkefnið skilgreint í reglugerð en ekki verið hrint í framkvæmd?</w:t>
      </w:r>
    </w:p>
    <w:p w14:paraId="5C99AA58" w14:textId="0858733E" w:rsidR="00DD408C" w:rsidRPr="00DD408C" w:rsidRDefault="00DD408C" w:rsidP="00DD408C">
      <w:r w:rsidRPr="00DD408C">
        <w:t xml:space="preserve">Mikilvægast er að ráðast sem fyrst í þau verkefni sem mestan forgang hafa en stefnt er að því að ráðast í öll verkefnin samkvæmt aðgerðaáætluninni. Aðeins með víðtækum aðgerðum í anda </w:t>
      </w:r>
      <w:r w:rsidR="00492638">
        <w:t>e</w:t>
      </w:r>
      <w:r w:rsidRPr="00DD408C">
        <w:t xml:space="preserve">innar heilsu verður hægt að ná viðunandi árangri í baráttunni við sýklalyfjaónæmi. </w:t>
      </w:r>
    </w:p>
    <w:p w14:paraId="0E28D75A" w14:textId="77777777" w:rsidR="00DD408C" w:rsidRPr="00DD408C" w:rsidRDefault="00DD408C" w:rsidP="00DD408C">
      <w:r w:rsidRPr="00DD408C">
        <w:t>Af þeim 75 verkefnum sem tilgreind eru í aðgerðaáætluninni eru 44 í forgangi eitt, 27 í forgangi tvö og fjögur í forgangi þrjú.</w:t>
      </w:r>
    </w:p>
    <w:p w14:paraId="4FDA5057" w14:textId="1FC5F2B9" w:rsidR="00DD408C" w:rsidRPr="00DD408C" w:rsidRDefault="00DD408C" w:rsidP="00DD408C">
      <w:r w:rsidRPr="00DD408C">
        <w:t xml:space="preserve">Af þeim 44 verkefnum sem eru í forgangi eitt eru 25 á ábyrgð </w:t>
      </w:r>
      <w:r w:rsidR="00CA1832">
        <w:t>heilbrigðisráðuneytis</w:t>
      </w:r>
      <w:r w:rsidRPr="00DD408C">
        <w:t xml:space="preserve"> og stofnana þess, 16 á ábyrgð </w:t>
      </w:r>
      <w:r w:rsidR="00CA1832">
        <w:t xml:space="preserve">matvælaráðuneytis </w:t>
      </w:r>
      <w:r w:rsidRPr="00DD408C">
        <w:t xml:space="preserve">og stofnana þess, og þrjú á ábyrgð </w:t>
      </w:r>
      <w:r w:rsidR="00CA1832">
        <w:t>umhverfis-, orku- og loftslagsráðuneytis og Umhverfisstofnunar</w:t>
      </w:r>
      <w:r w:rsidRPr="00DD408C">
        <w:t xml:space="preserve">. </w:t>
      </w:r>
    </w:p>
    <w:p w14:paraId="0548FFBD" w14:textId="1F486D7E" w:rsidR="00DD408C" w:rsidRPr="00DD408C" w:rsidRDefault="00DD408C" w:rsidP="00DD408C">
      <w:r w:rsidRPr="00DD408C">
        <w:t xml:space="preserve">Af 27 verkefnum í forgangi tvö eru 14 á ábyrgð </w:t>
      </w:r>
      <w:r w:rsidR="00CA1832">
        <w:t xml:space="preserve">heilbrigðisráðuneytis </w:t>
      </w:r>
      <w:r w:rsidRPr="00DD408C">
        <w:t xml:space="preserve">og stofnana þess, tíu á ábyrgð </w:t>
      </w:r>
      <w:r w:rsidR="00CA1832">
        <w:t xml:space="preserve">matvælaráðuneytis </w:t>
      </w:r>
      <w:r w:rsidRPr="00DD408C">
        <w:t xml:space="preserve">og stofnana þess og þrjú á ábyrgð </w:t>
      </w:r>
      <w:r w:rsidR="00CA1832">
        <w:t>umhverfis-, orku- og loftslagsráðuneytis</w:t>
      </w:r>
      <w:r w:rsidRPr="00DD408C">
        <w:t>.</w:t>
      </w:r>
    </w:p>
    <w:p w14:paraId="5C8798E0" w14:textId="1505E3E5" w:rsidR="00DD408C" w:rsidRDefault="00DD408C" w:rsidP="00DD408C">
      <w:r w:rsidRPr="00DD408C">
        <w:t xml:space="preserve">Af fjórum verkefnum sem eru í forgangi þrjú eru tvö á ábyrgð </w:t>
      </w:r>
      <w:r w:rsidR="00CA1832">
        <w:t xml:space="preserve">heilbrigðisráðuneytis </w:t>
      </w:r>
      <w:r w:rsidRPr="00DD408C">
        <w:t xml:space="preserve">og tvö á ábyrgð </w:t>
      </w:r>
      <w:r w:rsidR="00CA1832">
        <w:t>Matvælastofnunar</w:t>
      </w:r>
      <w:r w:rsidRPr="00DD408C">
        <w:t>.</w:t>
      </w:r>
    </w:p>
    <w:p w14:paraId="27E8952D" w14:textId="77777777" w:rsidR="00DD408C" w:rsidRDefault="00DD408C" w:rsidP="00DD408C"/>
    <w:p w14:paraId="63EB9DB8" w14:textId="5FAAEE40" w:rsidR="00DD408C" w:rsidRPr="00DD408C" w:rsidRDefault="003E329E" w:rsidP="003E329E">
      <w:pPr>
        <w:pStyle w:val="Millifyrirsgn1"/>
      </w:pPr>
      <w:r>
        <w:t>6</w:t>
      </w:r>
      <w:r w:rsidR="00DD408C">
        <w:t>. Tímarammi verkefna</w:t>
      </w:r>
      <w:r>
        <w:t>.</w:t>
      </w:r>
    </w:p>
    <w:bookmarkEnd w:id="53"/>
    <w:bookmarkEnd w:id="54"/>
    <w:bookmarkEnd w:id="55"/>
    <w:bookmarkEnd w:id="56"/>
    <w:p w14:paraId="14D2B744" w14:textId="05D688CF" w:rsidR="00DD408C" w:rsidRDefault="00DD408C" w:rsidP="00DD408C">
      <w:r>
        <w:t>Aðgerðaáætlun stjórnvalda er fimm ára áætlun sem nær til áranna 2025–2029. Í aðgerðaáætluninni má sjá stöðu þeirra verkefna sem nú þegar eru í framkvæmd að hluta eða öllu leyti.</w:t>
      </w:r>
    </w:p>
    <w:p w14:paraId="1141FEE4" w14:textId="2213A564" w:rsidR="00205DAE" w:rsidRDefault="00DD408C" w:rsidP="00DD408C">
      <w:r>
        <w:t>Aðgerðaáætlunin og einstaka verkefni verða endurmetin reglulega eða á a.m.k. fimm ára fresti samkvæmt tillögum starfshóps um innleiðingu og eftirfylgni eins áður hefur komið fram. Ljóst er að sum verkefnanna eru átaksverkefni sem vonandi verður hægt að ljúka á nokkrum árum en flest verkefnin eru langtímaverkefni sem fela í sér breytt vinnulag til framtíðar. Tímaramma einstakra verkefna er einnig tilgreindur í aðgerðaáætluninni.</w:t>
      </w:r>
      <w:r w:rsidR="00205DAE" w:rsidRPr="00E6082C">
        <w:t xml:space="preserve"> </w:t>
      </w:r>
    </w:p>
    <w:p w14:paraId="4DAE80BA" w14:textId="77777777" w:rsidR="00DD408C" w:rsidRDefault="00DD408C" w:rsidP="00DD408C"/>
    <w:p w14:paraId="23347FAE" w14:textId="3B8305A9" w:rsidR="00DD408C" w:rsidRDefault="003E329E" w:rsidP="003E329E">
      <w:pPr>
        <w:pStyle w:val="Millifyrirsgn1"/>
      </w:pPr>
      <w:r>
        <w:t>7</w:t>
      </w:r>
      <w:r w:rsidR="00DD408C">
        <w:t>. Mælikvarðar aðgerðaáætlunar</w:t>
      </w:r>
      <w:r>
        <w:t>.</w:t>
      </w:r>
    </w:p>
    <w:p w14:paraId="47F37E00" w14:textId="5FF181D2" w:rsidR="00DD408C" w:rsidRDefault="00DD408C" w:rsidP="00DD408C">
      <w:bookmarkStart w:id="57" w:name="_Toc155265965"/>
      <w:bookmarkStart w:id="58" w:name="_Toc156474956"/>
      <w:bookmarkStart w:id="59" w:name="_Toc156549528"/>
      <w:r w:rsidRPr="00DD408C">
        <w:t>Settir eru fram tvenns konar mælikvarðar til að meta árangur aðgerðaáætlunarinnar, framvindumælikvarðar (</w:t>
      </w:r>
      <w:r w:rsidR="00083902">
        <w:t xml:space="preserve">e. </w:t>
      </w:r>
      <w:proofErr w:type="spellStart"/>
      <w:r w:rsidRPr="00DD408C">
        <w:t>output</w:t>
      </w:r>
      <w:proofErr w:type="spellEnd"/>
      <w:r w:rsidRPr="00DD408C">
        <w:t xml:space="preserve"> </w:t>
      </w:r>
      <w:proofErr w:type="spellStart"/>
      <w:r w:rsidRPr="00DD408C">
        <w:t>indicators</w:t>
      </w:r>
      <w:proofErr w:type="spellEnd"/>
      <w:r w:rsidRPr="00DD408C">
        <w:t>) og árangursmælikvarðar (</w:t>
      </w:r>
      <w:r w:rsidR="00567FBF">
        <w:t xml:space="preserve">e. </w:t>
      </w:r>
      <w:proofErr w:type="spellStart"/>
      <w:r w:rsidRPr="00DD408C">
        <w:t>outcome</w:t>
      </w:r>
      <w:proofErr w:type="spellEnd"/>
      <w:r w:rsidRPr="00DD408C">
        <w:t xml:space="preserve"> </w:t>
      </w:r>
      <w:proofErr w:type="spellStart"/>
      <w:r w:rsidRPr="00DD408C">
        <w:t>indicators</w:t>
      </w:r>
      <w:proofErr w:type="spellEnd"/>
      <w:r w:rsidRPr="00DD408C">
        <w:t xml:space="preserve">). Til hliðsjónar eru hafðar leiðbeiningar </w:t>
      </w:r>
      <w:r w:rsidR="00F31CE8">
        <w:t>Alþjóðaheilbrigðismálastofnunarinnar</w:t>
      </w:r>
      <w:r w:rsidR="00F31CE8" w:rsidRPr="00DD408C">
        <w:t xml:space="preserve"> </w:t>
      </w:r>
      <w:r w:rsidRPr="00DD408C">
        <w:t xml:space="preserve">um eftirlit og mat á aðgerðaáætlunum gegn sýklalyfjaónæmi og þær aðlagaðar íslenskum aðstæðum. Einnig er </w:t>
      </w:r>
      <w:r w:rsidR="00492638">
        <w:t>e</w:t>
      </w:r>
      <w:r w:rsidRPr="00DD408C">
        <w:t xml:space="preserve">innar heilsu stefna </w:t>
      </w:r>
      <w:r w:rsidR="00F31CE8">
        <w:t>Evrópusambandsins</w:t>
      </w:r>
      <w:r w:rsidR="00F31CE8" w:rsidRPr="00DD408C">
        <w:t xml:space="preserve"> </w:t>
      </w:r>
      <w:r w:rsidRPr="00DD408C">
        <w:t xml:space="preserve">höfð í huga en í henni eru aðildarlönd hvött til að draga úr sýklalyfjanotkun </w:t>
      </w:r>
      <w:r w:rsidR="00E749D8">
        <w:t>manna</w:t>
      </w:r>
      <w:r w:rsidRPr="00DD408C">
        <w:t xml:space="preserve"> um a.m.k. 20% fyrir árið 2030 og </w:t>
      </w:r>
      <w:r w:rsidR="00E749D8">
        <w:t xml:space="preserve">sýklalyfjagjöf dýra um </w:t>
      </w:r>
      <w:r w:rsidRPr="00DD408C">
        <w:t>50%.</w:t>
      </w:r>
    </w:p>
    <w:p w14:paraId="067F22AB" w14:textId="77777777" w:rsidR="00DD408C" w:rsidRDefault="00DD408C" w:rsidP="00DD408C"/>
    <w:p w14:paraId="2AB6BF9C" w14:textId="79A3EC62" w:rsidR="00DD408C" w:rsidRPr="002575D5" w:rsidRDefault="003E329E" w:rsidP="003E329E">
      <w:pPr>
        <w:pStyle w:val="Millifyrirsgn2"/>
      </w:pPr>
      <w:r>
        <w:t>7.1</w:t>
      </w:r>
      <w:r w:rsidR="001700AB">
        <w:t>.</w:t>
      </w:r>
      <w:r>
        <w:t xml:space="preserve"> </w:t>
      </w:r>
      <w:r w:rsidR="002575D5">
        <w:t>Framvindumælikvarðar</w:t>
      </w:r>
      <w:r>
        <w:t>.</w:t>
      </w:r>
    </w:p>
    <w:p w14:paraId="4F86EA19" w14:textId="26FAABF7" w:rsidR="002575D5" w:rsidRPr="002575D5" w:rsidRDefault="002575D5" w:rsidP="002575D5">
      <w:bookmarkStart w:id="60" w:name="_Toc155265966"/>
      <w:bookmarkStart w:id="61" w:name="_Toc156474957"/>
      <w:bookmarkStart w:id="62" w:name="_Toc156549529"/>
      <w:bookmarkEnd w:id="57"/>
      <w:bookmarkEnd w:id="58"/>
      <w:bookmarkEnd w:id="59"/>
      <w:r w:rsidRPr="002575D5">
        <w:t>Framvindumælikvarðar eru mælikvarðar hvers markmiðs sem ætlað er að meta hvort markmiðum hafi verið náð</w:t>
      </w:r>
      <w:r>
        <w:t xml:space="preserve"> og þá má sjá í aðgerðaáætluninni</w:t>
      </w:r>
      <w:r w:rsidRPr="002575D5">
        <w:t xml:space="preserve">. Auk framvindumælikvarða eru </w:t>
      </w:r>
      <w:r>
        <w:t xml:space="preserve">skilgreind </w:t>
      </w:r>
      <w:r w:rsidRPr="002575D5">
        <w:t xml:space="preserve">framvinduviðmið sem starfshópurinn telur að </w:t>
      </w:r>
      <w:r>
        <w:t xml:space="preserve">ná </w:t>
      </w:r>
      <w:r w:rsidRPr="002575D5">
        <w:t xml:space="preserve">skuli fyrir árið 2030. </w:t>
      </w:r>
    </w:p>
    <w:p w14:paraId="3BA8AD10" w14:textId="35DE3C18" w:rsidR="002575D5" w:rsidRDefault="002575D5" w:rsidP="002575D5">
      <w:r w:rsidRPr="002575D5">
        <w:t>Fyrir nokkur markmið, einkum þau er snúa að umhverfi</w:t>
      </w:r>
      <w:r w:rsidR="00FA2A6C">
        <w:t>nu</w:t>
      </w:r>
      <w:r w:rsidRPr="002575D5">
        <w:t>, er ekki unnt að setja fram mælikvarða og viðmið því grunnupplýsingar vantar í þeim málaflokki. Í þeim tilvikum þarf að leggja áherslu á að afla gagna og vinna leiðbeiningar í kjölfarið. Framvindumælikvörðum má í þessum tilfellum bæta síðar inn í aðgerðaáætlunina.</w:t>
      </w:r>
    </w:p>
    <w:p w14:paraId="1F2D9C3B" w14:textId="77777777" w:rsidR="002575D5" w:rsidRDefault="002575D5" w:rsidP="002575D5"/>
    <w:p w14:paraId="1DF8B02A" w14:textId="20B05AA6" w:rsidR="002575D5" w:rsidRPr="002575D5" w:rsidRDefault="003E329E" w:rsidP="003E329E">
      <w:pPr>
        <w:pStyle w:val="Millifyrirsgn2"/>
      </w:pPr>
      <w:r>
        <w:t>7.2</w:t>
      </w:r>
      <w:r w:rsidR="001700AB">
        <w:t>.</w:t>
      </w:r>
      <w:r w:rsidR="002575D5" w:rsidRPr="002575D5">
        <w:t xml:space="preserve"> </w:t>
      </w:r>
      <w:r w:rsidR="002575D5">
        <w:t>Árangursmælikvarðar</w:t>
      </w:r>
      <w:r>
        <w:t>.</w:t>
      </w:r>
    </w:p>
    <w:bookmarkEnd w:id="60"/>
    <w:bookmarkEnd w:id="61"/>
    <w:bookmarkEnd w:id="62"/>
    <w:p w14:paraId="13516765" w14:textId="06EB18F6" w:rsidR="002575D5" w:rsidRDefault="002575D5" w:rsidP="002575D5">
      <w:r>
        <w:t>Árangursmælikvarðar meta heildarárangur aðgerðaáætlunarinnar á gildistíma hennar. Árangursmælikvörðum er skipti upp í mælikvarða fyrir menn, dýr og matvæli en á þessari stundu er erfitt að setja fram árangursmælikvarða fyrir umhverfi</w:t>
      </w:r>
      <w:r w:rsidR="00FA2A6C">
        <w:t>ð</w:t>
      </w:r>
      <w:r>
        <w:t xml:space="preserve"> þar sem takmarkaðar upplýsingar liggja fyrir um útbreiðslu sýklalyfjaónæmra baktería í umhverfi</w:t>
      </w:r>
      <w:r w:rsidR="00FA2A6C">
        <w:t>nu</w:t>
      </w:r>
      <w:r>
        <w:t xml:space="preserve"> hérlendis.</w:t>
      </w:r>
    </w:p>
    <w:p w14:paraId="44C8CF50" w14:textId="723DA81A" w:rsidR="00205DAE" w:rsidRDefault="002575D5" w:rsidP="002575D5">
      <w:r>
        <w:lastRenderedPageBreak/>
        <w:t xml:space="preserve">Þeir árangursmælikvarðar sem settir eru í þessari aðgerðaáætlun taka mið af þeim mælikvörðum sem birtir eru í </w:t>
      </w:r>
      <w:r w:rsidR="00492638">
        <w:t>e</w:t>
      </w:r>
      <w:r>
        <w:t xml:space="preserve">innar heilsu stefnu </w:t>
      </w:r>
      <w:r w:rsidR="00F31CE8">
        <w:t xml:space="preserve">Evrópusambandsins </w:t>
      </w:r>
      <w:r>
        <w:t xml:space="preserve">en hér hafa þeir verið aðlagaðir íslenskum aðstæðum. Í áætluninni er lagt til að stefnt verði að 20% minni notkun sýklalyfja </w:t>
      </w:r>
      <w:r w:rsidR="00E749D8">
        <w:t>manna</w:t>
      </w:r>
      <w:r>
        <w:t xml:space="preserve"> </w:t>
      </w:r>
      <w:r w:rsidR="00E749D8">
        <w:t xml:space="preserve">árið </w:t>
      </w:r>
      <w:r>
        <w:t>2029 miðað við árið 2022. Aftur á móti er erfitt að stefna að 50% minni notkun hjá dýrum þar sem notkunin hér á landi er nú þegar lítil og minni en í nánast öllum Evrópulöndum.</w:t>
      </w:r>
    </w:p>
    <w:p w14:paraId="7A1560C3" w14:textId="77777777" w:rsidR="002575D5" w:rsidRDefault="002575D5" w:rsidP="002575D5"/>
    <w:p w14:paraId="66C5FBAA" w14:textId="28924D46" w:rsidR="00205DAE" w:rsidRPr="008F0ED8" w:rsidRDefault="003E329E" w:rsidP="001700AB">
      <w:pPr>
        <w:ind w:firstLine="0"/>
      </w:pPr>
      <w:bookmarkStart w:id="63" w:name="_Toc155265967"/>
      <w:bookmarkStart w:id="64" w:name="_Toc156474958"/>
      <w:r>
        <w:t>7.</w:t>
      </w:r>
      <w:r w:rsidR="002575D5">
        <w:t>2.1</w:t>
      </w:r>
      <w:r w:rsidR="001700AB">
        <w:t>.</w:t>
      </w:r>
      <w:r w:rsidR="002575D5">
        <w:t xml:space="preserve"> </w:t>
      </w:r>
      <w:r w:rsidR="00205DAE" w:rsidRPr="008F0ED8">
        <w:t>Árangursmælikvarðar fyrir menn</w:t>
      </w:r>
      <w:bookmarkEnd w:id="63"/>
      <w:bookmarkEnd w:id="64"/>
      <w:r>
        <w:t>.</w:t>
      </w:r>
    </w:p>
    <w:p w14:paraId="4D1DE0FF" w14:textId="5ADA5913" w:rsidR="004766EF" w:rsidRDefault="002575D5" w:rsidP="00205DAE">
      <w:r w:rsidRPr="002575D5">
        <w:t>Árangursmælikvarðar fyrir menn taka til breytinga á hlutfalli ónæmis hjá tilteknum bakteríum sem greinast hjá mönnum, breytinga á notkun tiltekinna sýklalyfja og breytinga á þátttöku í tilteknum bólusetningum sem koma í veg fyrir ýmsar öndunarfærasýkingar og draga þannig úr notkun sýklalyfja.</w:t>
      </w:r>
    </w:p>
    <w:p w14:paraId="1A4FB2CC" w14:textId="49E8FB32" w:rsidR="002575D5" w:rsidRDefault="002575D5" w:rsidP="00205DAE">
      <w:r>
        <w:t>Þessir mælikvarðar eru tilgreindir nánar í aðgerðaáætluninni sjálfri.</w:t>
      </w:r>
    </w:p>
    <w:p w14:paraId="68674089" w14:textId="77777777" w:rsidR="002575D5" w:rsidRDefault="002575D5" w:rsidP="00205DAE"/>
    <w:p w14:paraId="09BB4BCC" w14:textId="39EB5BF9" w:rsidR="002575D5" w:rsidRDefault="003E329E" w:rsidP="001700AB">
      <w:pPr>
        <w:ind w:firstLine="0"/>
      </w:pPr>
      <w:r>
        <w:rPr>
          <w:bCs/>
        </w:rPr>
        <w:t>7.</w:t>
      </w:r>
      <w:r w:rsidR="002575D5" w:rsidRPr="002575D5">
        <w:rPr>
          <w:bCs/>
        </w:rPr>
        <w:t>2.2</w:t>
      </w:r>
      <w:r w:rsidR="001700AB">
        <w:rPr>
          <w:bCs/>
        </w:rPr>
        <w:t>.</w:t>
      </w:r>
      <w:r w:rsidR="002575D5">
        <w:t xml:space="preserve"> Árangursmælikvarðar fyrir dýr og matvæli</w:t>
      </w:r>
      <w:r w:rsidR="001700AB">
        <w:t>.</w:t>
      </w:r>
    </w:p>
    <w:p w14:paraId="5A2DF1BF" w14:textId="472C8CF8" w:rsidR="002575D5" w:rsidRPr="002575D5" w:rsidRDefault="002575D5" w:rsidP="002575D5">
      <w:r w:rsidRPr="002575D5">
        <w:t>Árangursmælikvarðar fyrir dýr og matvæli taka til breytinga á hlutfalli ónæmis hjá tilteknum bakteríum sem greinast hjá og í dýrum og matvælum ásamt breytingum á notkun tiltekinna sýklalyfja hjá dýrum.</w:t>
      </w:r>
      <w:r>
        <w:t xml:space="preserve"> Þeir eru skilgreindir nánar í aðgerðaáætluninni sjálfri.</w:t>
      </w:r>
    </w:p>
    <w:sectPr w:rsidR="002575D5" w:rsidRPr="002575D5" w:rsidSect="000E2BD5">
      <w:headerReference w:type="default" r:id="rId8"/>
      <w:headerReference w:type="firs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BBC14" w14:textId="77777777" w:rsidR="00083902" w:rsidRDefault="00083902" w:rsidP="00A612D0">
      <w:r>
        <w:separator/>
      </w:r>
    </w:p>
    <w:p w14:paraId="2EBB52D0" w14:textId="77777777" w:rsidR="00083902" w:rsidRDefault="00083902"/>
  </w:endnote>
  <w:endnote w:type="continuationSeparator" w:id="0">
    <w:p w14:paraId="2B19CF40" w14:textId="77777777" w:rsidR="00083902" w:rsidRDefault="00083902" w:rsidP="00A612D0">
      <w:r>
        <w:continuationSeparator/>
      </w:r>
    </w:p>
    <w:p w14:paraId="183092B5" w14:textId="77777777" w:rsidR="00083902" w:rsidRDefault="00083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GO SemiBold">
    <w:panose1 w:val="020B0603050000020004"/>
    <w:charset w:val="00"/>
    <w:family w:val="swiss"/>
    <w:notTrueType/>
    <w:pitch w:val="variable"/>
    <w:sig w:usb0="6500AAFF" w:usb1="40000001"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EF813" w14:textId="77777777" w:rsidR="00083902" w:rsidRDefault="00083902" w:rsidP="00F33179">
      <w:pPr>
        <w:ind w:firstLine="0"/>
      </w:pPr>
      <w:r>
        <w:separator/>
      </w:r>
    </w:p>
    <w:p w14:paraId="7D5FCDF6" w14:textId="77777777" w:rsidR="00083902" w:rsidRDefault="00083902"/>
  </w:footnote>
  <w:footnote w:type="continuationSeparator" w:id="0">
    <w:p w14:paraId="7E4ECB6C" w14:textId="77777777" w:rsidR="00083902" w:rsidRDefault="00083902" w:rsidP="00A612D0">
      <w:r>
        <w:continuationSeparator/>
      </w:r>
    </w:p>
    <w:p w14:paraId="2FDEF9E7" w14:textId="77777777" w:rsidR="00083902" w:rsidRDefault="00083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68D6" w14:textId="77777777" w:rsidR="00083902" w:rsidRDefault="00083902" w:rsidP="00A612D0">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p>
  <w:p w14:paraId="75F3675A" w14:textId="77777777" w:rsidR="00083902" w:rsidRDefault="00083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64C9" w14:textId="32FCEC5D" w:rsidR="00083902" w:rsidRDefault="00083902" w:rsidP="0039471D">
    <w:pPr>
      <w:pStyle w:val="Suhaus"/>
      <w:tabs>
        <w:tab w:val="clear" w:pos="4536"/>
        <w:tab w:val="clear" w:pos="9072"/>
        <w:tab w:val="center" w:pos="3969"/>
        <w:tab w:val="right" w:pos="7797"/>
      </w:tabs>
    </w:pPr>
    <w:r>
      <w:tab/>
    </w:r>
    <w:r>
      <w:tab/>
    </w:r>
    <w:r w:rsidRPr="0039471D">
      <w:rPr>
        <w:b/>
        <w:i/>
        <w:color w:val="7F7F7F"/>
        <w:sz w:val="24"/>
        <w:szCs w:val="24"/>
      </w:rPr>
      <w:t>Í vinnslu</w:t>
    </w:r>
    <w:r>
      <w:rPr>
        <w:b/>
        <w:i/>
        <w:color w:val="7F7F7F"/>
        <w:sz w:val="24"/>
        <w:szCs w:val="24"/>
      </w:rPr>
      <w:t xml:space="preserve"> – 4. Okt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C26B4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2BC29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26B40"/>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0392339D"/>
    <w:multiLevelType w:val="hybridMultilevel"/>
    <w:tmpl w:val="A1D28FD0"/>
    <w:lvl w:ilvl="0" w:tplc="A43CF91E">
      <w:start w:val="1"/>
      <w:numFmt w:val="decimal"/>
      <w:lvlText w:val="%1."/>
      <w:lvlJc w:val="left"/>
      <w:pPr>
        <w:ind w:left="984" w:hanging="360"/>
      </w:pPr>
      <w:rPr>
        <w:rFonts w:hint="default"/>
      </w:rPr>
    </w:lvl>
    <w:lvl w:ilvl="1" w:tplc="10000019" w:tentative="1">
      <w:start w:val="1"/>
      <w:numFmt w:val="lowerLetter"/>
      <w:lvlText w:val="%2."/>
      <w:lvlJc w:val="left"/>
      <w:pPr>
        <w:ind w:left="1780" w:hanging="360"/>
      </w:pPr>
    </w:lvl>
    <w:lvl w:ilvl="2" w:tplc="1000001B" w:tentative="1">
      <w:start w:val="1"/>
      <w:numFmt w:val="lowerRoman"/>
      <w:lvlText w:val="%3."/>
      <w:lvlJc w:val="right"/>
      <w:pPr>
        <w:ind w:left="2500" w:hanging="180"/>
      </w:pPr>
    </w:lvl>
    <w:lvl w:ilvl="3" w:tplc="1000000F" w:tentative="1">
      <w:start w:val="1"/>
      <w:numFmt w:val="decimal"/>
      <w:lvlText w:val="%4."/>
      <w:lvlJc w:val="left"/>
      <w:pPr>
        <w:ind w:left="3220" w:hanging="360"/>
      </w:pPr>
    </w:lvl>
    <w:lvl w:ilvl="4" w:tplc="10000019" w:tentative="1">
      <w:start w:val="1"/>
      <w:numFmt w:val="lowerLetter"/>
      <w:lvlText w:val="%5."/>
      <w:lvlJc w:val="left"/>
      <w:pPr>
        <w:ind w:left="3940" w:hanging="360"/>
      </w:pPr>
    </w:lvl>
    <w:lvl w:ilvl="5" w:tplc="1000001B" w:tentative="1">
      <w:start w:val="1"/>
      <w:numFmt w:val="lowerRoman"/>
      <w:lvlText w:val="%6."/>
      <w:lvlJc w:val="right"/>
      <w:pPr>
        <w:ind w:left="4660" w:hanging="180"/>
      </w:pPr>
    </w:lvl>
    <w:lvl w:ilvl="6" w:tplc="1000000F" w:tentative="1">
      <w:start w:val="1"/>
      <w:numFmt w:val="decimal"/>
      <w:lvlText w:val="%7."/>
      <w:lvlJc w:val="left"/>
      <w:pPr>
        <w:ind w:left="5380" w:hanging="360"/>
      </w:pPr>
    </w:lvl>
    <w:lvl w:ilvl="7" w:tplc="10000019" w:tentative="1">
      <w:start w:val="1"/>
      <w:numFmt w:val="lowerLetter"/>
      <w:lvlText w:val="%8."/>
      <w:lvlJc w:val="left"/>
      <w:pPr>
        <w:ind w:left="6100" w:hanging="360"/>
      </w:pPr>
    </w:lvl>
    <w:lvl w:ilvl="8" w:tplc="1000001B" w:tentative="1">
      <w:start w:val="1"/>
      <w:numFmt w:val="lowerRoman"/>
      <w:lvlText w:val="%9."/>
      <w:lvlJc w:val="right"/>
      <w:pPr>
        <w:ind w:left="6820" w:hanging="180"/>
      </w:pPr>
    </w:lvl>
  </w:abstractNum>
  <w:abstractNum w:abstractNumId="4" w15:restartNumberingAfterBreak="0">
    <w:nsid w:val="04F843D0"/>
    <w:multiLevelType w:val="hybridMultilevel"/>
    <w:tmpl w:val="1E80767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CC3D55"/>
    <w:multiLevelType w:val="hybridMultilevel"/>
    <w:tmpl w:val="2FD6891C"/>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6" w15:restartNumberingAfterBreak="0">
    <w:nsid w:val="0C857AA7"/>
    <w:multiLevelType w:val="multilevel"/>
    <w:tmpl w:val="0560B0FA"/>
    <w:numStyleLink w:val="Althingi1-a-1-a"/>
  </w:abstractNum>
  <w:abstractNum w:abstractNumId="7" w15:restartNumberingAfterBreak="0">
    <w:nsid w:val="0D8859D8"/>
    <w:multiLevelType w:val="hybridMultilevel"/>
    <w:tmpl w:val="143A3778"/>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62A08AB"/>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9" w15:restartNumberingAfterBreak="0">
    <w:nsid w:val="17A71AE8"/>
    <w:multiLevelType w:val="hybridMultilevel"/>
    <w:tmpl w:val="CEE00712"/>
    <w:lvl w:ilvl="0" w:tplc="CF3CDD1C">
      <w:start w:val="1"/>
      <w:numFmt w:val="decimal"/>
      <w:lvlText w:val="%1."/>
      <w:lvlJc w:val="left"/>
      <w:pPr>
        <w:ind w:left="928"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0"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1" w15:restartNumberingAfterBreak="0">
    <w:nsid w:val="21AA3392"/>
    <w:multiLevelType w:val="multilevel"/>
    <w:tmpl w:val="BA5CD530"/>
    <w:numStyleLink w:val="Althingi"/>
  </w:abstractNum>
  <w:abstractNum w:abstractNumId="12" w15:restartNumberingAfterBreak="0">
    <w:nsid w:val="23D55C7F"/>
    <w:multiLevelType w:val="hybridMultilevel"/>
    <w:tmpl w:val="8A58C8C2"/>
    <w:lvl w:ilvl="0" w:tplc="040F0013">
      <w:start w:val="1"/>
      <w:numFmt w:val="upp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23EE08E2"/>
    <w:multiLevelType w:val="multilevel"/>
    <w:tmpl w:val="0560B0FA"/>
    <w:numStyleLink w:val="Althingi1-a-1-a"/>
  </w:abstractNum>
  <w:abstractNum w:abstractNumId="14" w15:restartNumberingAfterBreak="0">
    <w:nsid w:val="26513B8B"/>
    <w:multiLevelType w:val="hybridMultilevel"/>
    <w:tmpl w:val="0322A07E"/>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15" w15:restartNumberingAfterBreak="0">
    <w:nsid w:val="27ED7357"/>
    <w:multiLevelType w:val="hybridMultilevel"/>
    <w:tmpl w:val="2DA8DCB8"/>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6" w15:restartNumberingAfterBreak="0">
    <w:nsid w:val="29AF5ADD"/>
    <w:multiLevelType w:val="multilevel"/>
    <w:tmpl w:val="0560B0FA"/>
    <w:numStyleLink w:val="Althingi1-a-1-a"/>
  </w:abstractNum>
  <w:abstractNum w:abstractNumId="17" w15:restartNumberingAfterBreak="0">
    <w:nsid w:val="29FC60C7"/>
    <w:multiLevelType w:val="multilevel"/>
    <w:tmpl w:val="BA5CD530"/>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8"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9" w15:restartNumberingAfterBreak="0">
    <w:nsid w:val="2BB74D82"/>
    <w:multiLevelType w:val="multilevel"/>
    <w:tmpl w:val="C87491C2"/>
    <w:lvl w:ilvl="0">
      <w:start w:val="3"/>
      <w:numFmt w:val="decimal"/>
      <w:lvlText w:val="%1."/>
      <w:lvlJc w:val="left"/>
      <w:pPr>
        <w:ind w:left="3600" w:hanging="360"/>
      </w:pPr>
      <w:rPr>
        <w:rFonts w:hint="default"/>
      </w:rPr>
    </w:lvl>
    <w:lvl w:ilvl="1">
      <w:start w:val="1"/>
      <w:numFmt w:val="decimal"/>
      <w:isLgl/>
      <w:lvlText w:val="%1.%2."/>
      <w:lvlJc w:val="left"/>
      <w:pPr>
        <w:ind w:left="3810" w:hanging="570"/>
      </w:pPr>
      <w:rPr>
        <w:rFonts w:hint="default"/>
      </w:rPr>
    </w:lvl>
    <w:lvl w:ilvl="2">
      <w:start w:val="1"/>
      <w:numFmt w:val="decimal"/>
      <w:lvlText w:val="%3."/>
      <w:lvlJc w:val="left"/>
      <w:pPr>
        <w:ind w:left="3600" w:hanging="360"/>
      </w:p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2BFB66A8"/>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1" w15:restartNumberingAfterBreak="0">
    <w:nsid w:val="2DF82C75"/>
    <w:multiLevelType w:val="hybridMultilevel"/>
    <w:tmpl w:val="0C58F178"/>
    <w:lvl w:ilvl="0" w:tplc="C0A4FCFC">
      <w:start w:val="1"/>
      <w:numFmt w:val="decimal"/>
      <w:lvlText w:val="%1."/>
      <w:lvlJc w:val="left"/>
      <w:pPr>
        <w:ind w:left="700" w:hanging="360"/>
      </w:pPr>
      <w:rPr>
        <w:rFonts w:hint="default"/>
      </w:rPr>
    </w:lvl>
    <w:lvl w:ilvl="1" w:tplc="10000019" w:tentative="1">
      <w:start w:val="1"/>
      <w:numFmt w:val="lowerLetter"/>
      <w:lvlText w:val="%2."/>
      <w:lvlJc w:val="left"/>
      <w:pPr>
        <w:ind w:left="1420" w:hanging="360"/>
      </w:pPr>
    </w:lvl>
    <w:lvl w:ilvl="2" w:tplc="1000001B" w:tentative="1">
      <w:start w:val="1"/>
      <w:numFmt w:val="lowerRoman"/>
      <w:lvlText w:val="%3."/>
      <w:lvlJc w:val="right"/>
      <w:pPr>
        <w:ind w:left="2140" w:hanging="180"/>
      </w:pPr>
    </w:lvl>
    <w:lvl w:ilvl="3" w:tplc="1000000F" w:tentative="1">
      <w:start w:val="1"/>
      <w:numFmt w:val="decimal"/>
      <w:lvlText w:val="%4."/>
      <w:lvlJc w:val="left"/>
      <w:pPr>
        <w:ind w:left="2860" w:hanging="360"/>
      </w:pPr>
    </w:lvl>
    <w:lvl w:ilvl="4" w:tplc="10000019" w:tentative="1">
      <w:start w:val="1"/>
      <w:numFmt w:val="lowerLetter"/>
      <w:lvlText w:val="%5."/>
      <w:lvlJc w:val="left"/>
      <w:pPr>
        <w:ind w:left="3580" w:hanging="360"/>
      </w:pPr>
    </w:lvl>
    <w:lvl w:ilvl="5" w:tplc="1000001B" w:tentative="1">
      <w:start w:val="1"/>
      <w:numFmt w:val="lowerRoman"/>
      <w:lvlText w:val="%6."/>
      <w:lvlJc w:val="right"/>
      <w:pPr>
        <w:ind w:left="4300" w:hanging="180"/>
      </w:pPr>
    </w:lvl>
    <w:lvl w:ilvl="6" w:tplc="1000000F" w:tentative="1">
      <w:start w:val="1"/>
      <w:numFmt w:val="decimal"/>
      <w:lvlText w:val="%7."/>
      <w:lvlJc w:val="left"/>
      <w:pPr>
        <w:ind w:left="5020" w:hanging="360"/>
      </w:pPr>
    </w:lvl>
    <w:lvl w:ilvl="7" w:tplc="10000019" w:tentative="1">
      <w:start w:val="1"/>
      <w:numFmt w:val="lowerLetter"/>
      <w:lvlText w:val="%8."/>
      <w:lvlJc w:val="left"/>
      <w:pPr>
        <w:ind w:left="5740" w:hanging="360"/>
      </w:pPr>
    </w:lvl>
    <w:lvl w:ilvl="8" w:tplc="1000001B" w:tentative="1">
      <w:start w:val="1"/>
      <w:numFmt w:val="lowerRoman"/>
      <w:lvlText w:val="%9."/>
      <w:lvlJc w:val="right"/>
      <w:pPr>
        <w:ind w:left="6460" w:hanging="180"/>
      </w:pPr>
    </w:lvl>
  </w:abstractNum>
  <w:abstractNum w:abstractNumId="22" w15:restartNumberingAfterBreak="0">
    <w:nsid w:val="2F9C24D8"/>
    <w:multiLevelType w:val="hybridMultilevel"/>
    <w:tmpl w:val="ADA2B9D0"/>
    <w:lvl w:ilvl="0" w:tplc="C0A4FCFC">
      <w:start w:val="1"/>
      <w:numFmt w:val="decimal"/>
      <w:lvlText w:val="%1."/>
      <w:lvlJc w:val="left"/>
      <w:pPr>
        <w:ind w:left="700" w:hanging="360"/>
      </w:pPr>
      <w:rPr>
        <w:rFonts w:hint="default"/>
      </w:rPr>
    </w:lvl>
    <w:lvl w:ilvl="1" w:tplc="10000019" w:tentative="1">
      <w:start w:val="1"/>
      <w:numFmt w:val="lowerLetter"/>
      <w:lvlText w:val="%2."/>
      <w:lvlJc w:val="left"/>
      <w:pPr>
        <w:ind w:left="1420" w:hanging="360"/>
      </w:pPr>
    </w:lvl>
    <w:lvl w:ilvl="2" w:tplc="1000001B" w:tentative="1">
      <w:start w:val="1"/>
      <w:numFmt w:val="lowerRoman"/>
      <w:lvlText w:val="%3."/>
      <w:lvlJc w:val="right"/>
      <w:pPr>
        <w:ind w:left="2140" w:hanging="180"/>
      </w:pPr>
    </w:lvl>
    <w:lvl w:ilvl="3" w:tplc="1000000F" w:tentative="1">
      <w:start w:val="1"/>
      <w:numFmt w:val="decimal"/>
      <w:lvlText w:val="%4."/>
      <w:lvlJc w:val="left"/>
      <w:pPr>
        <w:ind w:left="2860" w:hanging="360"/>
      </w:pPr>
    </w:lvl>
    <w:lvl w:ilvl="4" w:tplc="10000019" w:tentative="1">
      <w:start w:val="1"/>
      <w:numFmt w:val="lowerLetter"/>
      <w:lvlText w:val="%5."/>
      <w:lvlJc w:val="left"/>
      <w:pPr>
        <w:ind w:left="3580" w:hanging="360"/>
      </w:pPr>
    </w:lvl>
    <w:lvl w:ilvl="5" w:tplc="1000001B" w:tentative="1">
      <w:start w:val="1"/>
      <w:numFmt w:val="lowerRoman"/>
      <w:lvlText w:val="%6."/>
      <w:lvlJc w:val="right"/>
      <w:pPr>
        <w:ind w:left="4300" w:hanging="180"/>
      </w:pPr>
    </w:lvl>
    <w:lvl w:ilvl="6" w:tplc="1000000F" w:tentative="1">
      <w:start w:val="1"/>
      <w:numFmt w:val="decimal"/>
      <w:lvlText w:val="%7."/>
      <w:lvlJc w:val="left"/>
      <w:pPr>
        <w:ind w:left="5020" w:hanging="360"/>
      </w:pPr>
    </w:lvl>
    <w:lvl w:ilvl="7" w:tplc="10000019" w:tentative="1">
      <w:start w:val="1"/>
      <w:numFmt w:val="lowerLetter"/>
      <w:lvlText w:val="%8."/>
      <w:lvlJc w:val="left"/>
      <w:pPr>
        <w:ind w:left="5740" w:hanging="360"/>
      </w:pPr>
    </w:lvl>
    <w:lvl w:ilvl="8" w:tplc="1000001B" w:tentative="1">
      <w:start w:val="1"/>
      <w:numFmt w:val="lowerRoman"/>
      <w:lvlText w:val="%9."/>
      <w:lvlJc w:val="right"/>
      <w:pPr>
        <w:ind w:left="6460" w:hanging="180"/>
      </w:pPr>
    </w:lvl>
  </w:abstractNum>
  <w:abstractNum w:abstractNumId="23" w15:restartNumberingAfterBreak="0">
    <w:nsid w:val="300A2A77"/>
    <w:multiLevelType w:val="multilevel"/>
    <w:tmpl w:val="BC94EDF8"/>
    <w:lvl w:ilvl="0">
      <w:start w:val="2"/>
      <w:numFmt w:val="upperRoman"/>
      <w:lvlText w:val="%1."/>
      <w:lvlJc w:val="left"/>
      <w:pPr>
        <w:ind w:left="2160" w:hanging="72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4" w15:restartNumberingAfterBreak="0">
    <w:nsid w:val="34B7178E"/>
    <w:multiLevelType w:val="hybridMultilevel"/>
    <w:tmpl w:val="8282230C"/>
    <w:lvl w:ilvl="0" w:tplc="A43CF91E">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5" w15:restartNumberingAfterBreak="0">
    <w:nsid w:val="375563E5"/>
    <w:multiLevelType w:val="hybridMultilevel"/>
    <w:tmpl w:val="5A2EFC9A"/>
    <w:lvl w:ilvl="0" w:tplc="CF3CDD1C">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6" w15:restartNumberingAfterBreak="0">
    <w:nsid w:val="3AEE00A9"/>
    <w:multiLevelType w:val="hybridMultilevel"/>
    <w:tmpl w:val="172E967E"/>
    <w:lvl w:ilvl="0" w:tplc="B6A430B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3C8F77E0"/>
    <w:multiLevelType w:val="hybridMultilevel"/>
    <w:tmpl w:val="5760925E"/>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8" w15:restartNumberingAfterBreak="0">
    <w:nsid w:val="4061178B"/>
    <w:multiLevelType w:val="multilevel"/>
    <w:tmpl w:val="0560B0FA"/>
    <w:numStyleLink w:val="Althingi1-a-1-a"/>
  </w:abstractNum>
  <w:abstractNum w:abstractNumId="29" w15:restartNumberingAfterBreak="0">
    <w:nsid w:val="42E92B90"/>
    <w:multiLevelType w:val="multilevel"/>
    <w:tmpl w:val="0560B0FA"/>
    <w:numStyleLink w:val="Althingi1-a-1-a"/>
  </w:abstractNum>
  <w:abstractNum w:abstractNumId="30" w15:restartNumberingAfterBreak="0">
    <w:nsid w:val="432C3B56"/>
    <w:multiLevelType w:val="multilevel"/>
    <w:tmpl w:val="749AD226"/>
    <w:numStyleLink w:val="Althingi---"/>
  </w:abstractNum>
  <w:abstractNum w:abstractNumId="31"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2" w15:restartNumberingAfterBreak="0">
    <w:nsid w:val="45504135"/>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33" w15:restartNumberingAfterBreak="0">
    <w:nsid w:val="488E2378"/>
    <w:multiLevelType w:val="multilevel"/>
    <w:tmpl w:val="53648B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8CA323A"/>
    <w:multiLevelType w:val="multilevel"/>
    <w:tmpl w:val="20DCF00A"/>
    <w:lvl w:ilvl="0">
      <w:start w:val="1"/>
      <w:numFmt w:val="decimal"/>
      <w:lvlText w:val="%1."/>
      <w:lvlJc w:val="left"/>
      <w:pPr>
        <w:ind w:left="1004" w:hanging="360"/>
      </w:pPr>
      <w:rPr>
        <w:rFonts w:hint="default"/>
        <w:b/>
        <w:bCs/>
      </w:rPr>
    </w:lvl>
    <w:lvl w:ilvl="1">
      <w:start w:val="2"/>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5" w15:restartNumberingAfterBreak="0">
    <w:nsid w:val="4E3053C8"/>
    <w:multiLevelType w:val="hybridMultilevel"/>
    <w:tmpl w:val="EBA26B4C"/>
    <w:lvl w:ilvl="0" w:tplc="14A2E682">
      <w:start w:val="1"/>
      <w:numFmt w:val="decimal"/>
      <w:lvlText w:val="6.%1."/>
      <w:lvlJc w:val="left"/>
      <w:pPr>
        <w:ind w:left="17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3A2780"/>
    <w:multiLevelType w:val="multilevel"/>
    <w:tmpl w:val="0560B0FA"/>
    <w:numStyleLink w:val="Althingi1-a-1-a"/>
  </w:abstractNum>
  <w:abstractNum w:abstractNumId="37" w15:restartNumberingAfterBreak="0">
    <w:nsid w:val="530360F5"/>
    <w:multiLevelType w:val="hybridMultilevel"/>
    <w:tmpl w:val="B11042E4"/>
    <w:lvl w:ilvl="0" w:tplc="85325B7E">
      <w:start w:val="1"/>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3D1929"/>
    <w:multiLevelType w:val="multilevel"/>
    <w:tmpl w:val="1BC25950"/>
    <w:lvl w:ilvl="0">
      <w:start w:val="1"/>
      <w:numFmt w:val="decimal"/>
      <w:pStyle w:val="Fyrirsgn1"/>
      <w:lvlText w:val="%1."/>
      <w:lvlJc w:val="left"/>
      <w:pPr>
        <w:ind w:left="488" w:hanging="488"/>
      </w:pPr>
      <w:rPr>
        <w:rFonts w:hint="default"/>
      </w:rPr>
    </w:lvl>
    <w:lvl w:ilvl="1">
      <w:start w:val="1"/>
      <w:numFmt w:val="decimal"/>
      <w:pStyle w:val="Fyrirsgn2"/>
      <w:lvlText w:val="%1.%2"/>
      <w:lvlJc w:val="left"/>
      <w:pPr>
        <w:ind w:left="454" w:hanging="454"/>
      </w:pPr>
      <w:rPr>
        <w:rFonts w:hint="default"/>
      </w:rPr>
    </w:lvl>
    <w:lvl w:ilvl="2">
      <w:start w:val="1"/>
      <w:numFmt w:val="decimal"/>
      <w:pStyle w:val="Fyrirsgn3"/>
      <w:lvlText w:val="%1.%2.%3"/>
      <w:lvlJc w:val="left"/>
      <w:pPr>
        <w:ind w:left="454" w:hanging="454"/>
      </w:pPr>
      <w:rPr>
        <w:rFonts w:hint="default"/>
      </w:rPr>
    </w:lvl>
    <w:lvl w:ilvl="3">
      <w:start w:val="1"/>
      <w:numFmt w:val="none"/>
      <w:pStyle w:val="Fyrirsgn4"/>
      <w:lvlText w:val=""/>
      <w:lvlJc w:val="left"/>
      <w:pPr>
        <w:ind w:left="510" w:hanging="510"/>
      </w:pPr>
      <w:rPr>
        <w:rFonts w:hint="default"/>
      </w:rPr>
    </w:lvl>
    <w:lvl w:ilvl="4">
      <w:start w:val="1"/>
      <w:numFmt w:val="none"/>
      <w:pStyle w:val="Fyrirsgn5"/>
      <w:lvlText w:val=""/>
      <w:lvlJc w:val="left"/>
      <w:pPr>
        <w:ind w:left="510" w:hanging="510"/>
      </w:pPr>
      <w:rPr>
        <w:rFonts w:hint="default"/>
      </w:rPr>
    </w:lvl>
    <w:lvl w:ilvl="5">
      <w:start w:val="1"/>
      <w:numFmt w:val="none"/>
      <w:pStyle w:val="Fyrirsgn6"/>
      <w:lvlText w:val=""/>
      <w:lvlJc w:val="left"/>
      <w:pPr>
        <w:ind w:left="510" w:hanging="510"/>
      </w:pPr>
      <w:rPr>
        <w:rFonts w:hint="default"/>
      </w:rPr>
    </w:lvl>
    <w:lvl w:ilvl="6">
      <w:start w:val="1"/>
      <w:numFmt w:val="none"/>
      <w:pStyle w:val="Fyrirsgn7"/>
      <w:lvlText w:val="%1.%2.%3.%4.%5.%6.%7"/>
      <w:lvlJc w:val="left"/>
      <w:pPr>
        <w:ind w:left="510" w:hanging="510"/>
      </w:pPr>
      <w:rPr>
        <w:rFonts w:hint="default"/>
      </w:rPr>
    </w:lvl>
    <w:lvl w:ilvl="7">
      <w:start w:val="1"/>
      <w:numFmt w:val="none"/>
      <w:pStyle w:val="Fyrirsgn8"/>
      <w:lvlText w:val=""/>
      <w:lvlJc w:val="left"/>
      <w:pPr>
        <w:ind w:left="510" w:hanging="510"/>
      </w:pPr>
      <w:rPr>
        <w:rFonts w:hint="default"/>
      </w:rPr>
    </w:lvl>
    <w:lvl w:ilvl="8">
      <w:start w:val="1"/>
      <w:numFmt w:val="none"/>
      <w:pStyle w:val="Fyrirsgn9"/>
      <w:lvlText w:val=""/>
      <w:lvlJc w:val="left"/>
      <w:pPr>
        <w:ind w:left="510" w:hanging="510"/>
      </w:pPr>
      <w:rPr>
        <w:rFonts w:hint="default"/>
      </w:rPr>
    </w:lvl>
  </w:abstractNum>
  <w:abstractNum w:abstractNumId="39" w15:restartNumberingAfterBreak="0">
    <w:nsid w:val="5F190A7E"/>
    <w:multiLevelType w:val="multilevel"/>
    <w:tmpl w:val="0560B0FA"/>
    <w:numStyleLink w:val="Althingi1-a-1-a"/>
  </w:abstractNum>
  <w:abstractNum w:abstractNumId="40" w15:restartNumberingAfterBreak="0">
    <w:nsid w:val="64E9167E"/>
    <w:multiLevelType w:val="hybridMultilevel"/>
    <w:tmpl w:val="3376BEE8"/>
    <w:lvl w:ilvl="0" w:tplc="C0A4FCFC">
      <w:start w:val="1"/>
      <w:numFmt w:val="decimal"/>
      <w:lvlText w:val="%1."/>
      <w:lvlJc w:val="left"/>
      <w:pPr>
        <w:ind w:left="1040" w:hanging="360"/>
      </w:pPr>
      <w:rPr>
        <w:rFonts w:hint="default"/>
      </w:rPr>
    </w:lvl>
    <w:lvl w:ilvl="1" w:tplc="10000019" w:tentative="1">
      <w:start w:val="1"/>
      <w:numFmt w:val="lowerLetter"/>
      <w:lvlText w:val="%2."/>
      <w:lvlJc w:val="left"/>
      <w:pPr>
        <w:ind w:left="1780" w:hanging="360"/>
      </w:pPr>
    </w:lvl>
    <w:lvl w:ilvl="2" w:tplc="1000001B" w:tentative="1">
      <w:start w:val="1"/>
      <w:numFmt w:val="lowerRoman"/>
      <w:lvlText w:val="%3."/>
      <w:lvlJc w:val="right"/>
      <w:pPr>
        <w:ind w:left="2500" w:hanging="180"/>
      </w:pPr>
    </w:lvl>
    <w:lvl w:ilvl="3" w:tplc="1000000F" w:tentative="1">
      <w:start w:val="1"/>
      <w:numFmt w:val="decimal"/>
      <w:lvlText w:val="%4."/>
      <w:lvlJc w:val="left"/>
      <w:pPr>
        <w:ind w:left="3220" w:hanging="360"/>
      </w:pPr>
    </w:lvl>
    <w:lvl w:ilvl="4" w:tplc="10000019" w:tentative="1">
      <w:start w:val="1"/>
      <w:numFmt w:val="lowerLetter"/>
      <w:lvlText w:val="%5."/>
      <w:lvlJc w:val="left"/>
      <w:pPr>
        <w:ind w:left="3940" w:hanging="360"/>
      </w:pPr>
    </w:lvl>
    <w:lvl w:ilvl="5" w:tplc="1000001B" w:tentative="1">
      <w:start w:val="1"/>
      <w:numFmt w:val="lowerRoman"/>
      <w:lvlText w:val="%6."/>
      <w:lvlJc w:val="right"/>
      <w:pPr>
        <w:ind w:left="4660" w:hanging="180"/>
      </w:pPr>
    </w:lvl>
    <w:lvl w:ilvl="6" w:tplc="1000000F" w:tentative="1">
      <w:start w:val="1"/>
      <w:numFmt w:val="decimal"/>
      <w:lvlText w:val="%7."/>
      <w:lvlJc w:val="left"/>
      <w:pPr>
        <w:ind w:left="5380" w:hanging="360"/>
      </w:pPr>
    </w:lvl>
    <w:lvl w:ilvl="7" w:tplc="10000019" w:tentative="1">
      <w:start w:val="1"/>
      <w:numFmt w:val="lowerLetter"/>
      <w:lvlText w:val="%8."/>
      <w:lvlJc w:val="left"/>
      <w:pPr>
        <w:ind w:left="6100" w:hanging="360"/>
      </w:pPr>
    </w:lvl>
    <w:lvl w:ilvl="8" w:tplc="1000001B" w:tentative="1">
      <w:start w:val="1"/>
      <w:numFmt w:val="lowerRoman"/>
      <w:lvlText w:val="%9."/>
      <w:lvlJc w:val="right"/>
      <w:pPr>
        <w:ind w:left="6820" w:hanging="180"/>
      </w:pPr>
    </w:lvl>
  </w:abstractNum>
  <w:abstractNum w:abstractNumId="41" w15:restartNumberingAfterBreak="0">
    <w:nsid w:val="67137F64"/>
    <w:multiLevelType w:val="multilevel"/>
    <w:tmpl w:val="C838B0A6"/>
    <w:lvl w:ilvl="0">
      <w:start w:val="1"/>
      <w:numFmt w:val="decimal"/>
      <w:lvlText w:val="1.%1."/>
      <w:lvlJc w:val="left"/>
      <w:pPr>
        <w:ind w:left="680" w:hanging="340"/>
      </w:pPr>
      <w:rPr>
        <w:rFonts w:hint="default"/>
        <w:b/>
        <w:i w:val="0"/>
        <w:color w:val="000000" w:themeColor="text1"/>
        <w:sz w:val="19"/>
      </w:rPr>
    </w:lvl>
    <w:lvl w:ilvl="1">
      <w:start w:val="1"/>
      <w:numFmt w:val="decimal"/>
      <w:lvlText w:val="%1.%2."/>
      <w:lvlJc w:val="left"/>
      <w:pPr>
        <w:ind w:left="1134" w:hanging="454"/>
      </w:pPr>
      <w:rPr>
        <w:rFonts w:hint="default"/>
      </w:rPr>
    </w:lvl>
    <w:lvl w:ilvl="2">
      <w:start w:val="1"/>
      <w:numFmt w:val="decimal"/>
      <w:lvlText w:val="%1.%2.%3."/>
      <w:lvlJc w:val="left"/>
      <w:pPr>
        <w:ind w:left="1644" w:hanging="510"/>
      </w:pPr>
      <w:rPr>
        <w:rFonts w:hint="default"/>
      </w:rPr>
    </w:lvl>
    <w:lvl w:ilvl="3">
      <w:start w:val="1"/>
      <w:numFmt w:val="decimal"/>
      <w:lvlText w:val="%1.%2.%3.%4."/>
      <w:lvlJc w:val="left"/>
      <w:pPr>
        <w:ind w:left="2268" w:hanging="624"/>
      </w:pPr>
      <w:rPr>
        <w:rFonts w:hint="default"/>
      </w:rPr>
    </w:lvl>
    <w:lvl w:ilvl="4">
      <w:start w:val="1"/>
      <w:numFmt w:val="decimal"/>
      <w:lvlText w:val="%1.%2.%3.%4.%5."/>
      <w:lvlJc w:val="left"/>
      <w:pPr>
        <w:ind w:left="2381" w:hanging="737"/>
      </w:pPr>
      <w:rPr>
        <w:rFonts w:hint="default"/>
      </w:rPr>
    </w:lvl>
    <w:lvl w:ilvl="5">
      <w:start w:val="1"/>
      <w:numFmt w:val="decimal"/>
      <w:lvlText w:val="%1.%2.%3.%4.%5.%6."/>
      <w:lvlJc w:val="left"/>
      <w:pPr>
        <w:ind w:left="2552" w:hanging="908"/>
      </w:pPr>
      <w:rPr>
        <w:rFonts w:hint="default"/>
      </w:rPr>
    </w:lvl>
    <w:lvl w:ilvl="6">
      <w:start w:val="1"/>
      <w:numFmt w:val="decimal"/>
      <w:lvlText w:val="%1.%2.%3.%4.%5.%6.%7."/>
      <w:lvlJc w:val="left"/>
      <w:pPr>
        <w:ind w:left="2665" w:hanging="1021"/>
      </w:pPr>
      <w:rPr>
        <w:rFonts w:hint="default"/>
      </w:rPr>
    </w:lvl>
    <w:lvl w:ilvl="7">
      <w:start w:val="1"/>
      <w:numFmt w:val="decimal"/>
      <w:lvlText w:val="%1.%2.%3.%4.%5.%6.%7.%8."/>
      <w:lvlJc w:val="left"/>
      <w:pPr>
        <w:ind w:left="2778" w:hanging="1134"/>
      </w:pPr>
      <w:rPr>
        <w:rFonts w:hint="default"/>
      </w:rPr>
    </w:lvl>
    <w:lvl w:ilvl="8">
      <w:start w:val="1"/>
      <w:numFmt w:val="decimal"/>
      <w:lvlText w:val="%1.%2.%3.%4.%5.%6.%7.%8.%9."/>
      <w:lvlJc w:val="left"/>
      <w:pPr>
        <w:ind w:left="2892" w:hanging="1248"/>
      </w:pPr>
      <w:rPr>
        <w:rFonts w:hint="default"/>
      </w:rPr>
    </w:lvl>
  </w:abstractNum>
  <w:abstractNum w:abstractNumId="42" w15:restartNumberingAfterBreak="0">
    <w:nsid w:val="67DD4815"/>
    <w:multiLevelType w:val="hybridMultilevel"/>
    <w:tmpl w:val="02B895C8"/>
    <w:lvl w:ilvl="0" w:tplc="CF3CDD1C">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3" w15:restartNumberingAfterBreak="0">
    <w:nsid w:val="6D524360"/>
    <w:multiLevelType w:val="hybridMultilevel"/>
    <w:tmpl w:val="3230CA12"/>
    <w:lvl w:ilvl="0" w:tplc="CF3CDD1C">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4" w15:restartNumberingAfterBreak="0">
    <w:nsid w:val="6DC26DC8"/>
    <w:multiLevelType w:val="hybridMultilevel"/>
    <w:tmpl w:val="A182950E"/>
    <w:lvl w:ilvl="0" w:tplc="040F0013">
      <w:start w:val="1"/>
      <w:numFmt w:val="upperRoman"/>
      <w:lvlText w:val="%1."/>
      <w:lvlJc w:val="righ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5" w15:restartNumberingAfterBreak="0">
    <w:nsid w:val="6F8C16BE"/>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46" w15:restartNumberingAfterBreak="0">
    <w:nsid w:val="6F9A2B26"/>
    <w:multiLevelType w:val="multilevel"/>
    <w:tmpl w:val="749AD226"/>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47" w15:restartNumberingAfterBreak="0">
    <w:nsid w:val="7113300F"/>
    <w:multiLevelType w:val="hybridMultilevel"/>
    <w:tmpl w:val="F10ACA24"/>
    <w:lvl w:ilvl="0" w:tplc="CF3CDD1C">
      <w:start w:val="1"/>
      <w:numFmt w:val="decimal"/>
      <w:lvlText w:val="%1."/>
      <w:lvlJc w:val="left"/>
      <w:pPr>
        <w:ind w:left="928"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48" w15:restartNumberingAfterBreak="0">
    <w:nsid w:val="74C86195"/>
    <w:multiLevelType w:val="multilevel"/>
    <w:tmpl w:val="BEDC8B24"/>
    <w:lvl w:ilvl="0">
      <w:start w:val="1"/>
      <w:numFmt w:val="decimal"/>
      <w:lvlText w:val="2.%1."/>
      <w:lvlJc w:val="left"/>
      <w:pPr>
        <w:ind w:left="680" w:hanging="340"/>
      </w:pPr>
      <w:rPr>
        <w:rFonts w:hint="default"/>
        <w:b/>
        <w:bCs w:val="0"/>
        <w:i w:val="0"/>
        <w:color w:val="000000" w:themeColor="text1"/>
        <w:sz w:val="19"/>
      </w:rPr>
    </w:lvl>
    <w:lvl w:ilvl="1">
      <w:start w:val="1"/>
      <w:numFmt w:val="decimal"/>
      <w:lvlText w:val="%1.%2."/>
      <w:lvlJc w:val="left"/>
      <w:pPr>
        <w:ind w:left="1134" w:hanging="454"/>
      </w:pPr>
      <w:rPr>
        <w:rFonts w:hint="default"/>
      </w:rPr>
    </w:lvl>
    <w:lvl w:ilvl="2">
      <w:start w:val="1"/>
      <w:numFmt w:val="decimal"/>
      <w:lvlText w:val="%1.%2.%3."/>
      <w:lvlJc w:val="left"/>
      <w:pPr>
        <w:ind w:left="1644" w:hanging="510"/>
      </w:pPr>
      <w:rPr>
        <w:rFonts w:hint="default"/>
      </w:rPr>
    </w:lvl>
    <w:lvl w:ilvl="3">
      <w:start w:val="1"/>
      <w:numFmt w:val="decimal"/>
      <w:lvlText w:val="%1.%2.%3.%4."/>
      <w:lvlJc w:val="left"/>
      <w:pPr>
        <w:ind w:left="2268" w:hanging="624"/>
      </w:pPr>
      <w:rPr>
        <w:rFonts w:hint="default"/>
      </w:rPr>
    </w:lvl>
    <w:lvl w:ilvl="4">
      <w:start w:val="1"/>
      <w:numFmt w:val="decimal"/>
      <w:lvlText w:val="%1.%2.%3.%4.%5."/>
      <w:lvlJc w:val="left"/>
      <w:pPr>
        <w:ind w:left="2381" w:hanging="737"/>
      </w:pPr>
      <w:rPr>
        <w:rFonts w:hint="default"/>
      </w:rPr>
    </w:lvl>
    <w:lvl w:ilvl="5">
      <w:start w:val="1"/>
      <w:numFmt w:val="decimal"/>
      <w:lvlText w:val="%1.%2.%3.%4.%5.%6."/>
      <w:lvlJc w:val="left"/>
      <w:pPr>
        <w:ind w:left="2552" w:hanging="908"/>
      </w:pPr>
      <w:rPr>
        <w:rFonts w:hint="default"/>
      </w:rPr>
    </w:lvl>
    <w:lvl w:ilvl="6">
      <w:start w:val="1"/>
      <w:numFmt w:val="decimal"/>
      <w:lvlText w:val="%1.%2.%3.%4.%5.%6.%7."/>
      <w:lvlJc w:val="left"/>
      <w:pPr>
        <w:ind w:left="2665" w:hanging="1021"/>
      </w:pPr>
      <w:rPr>
        <w:rFonts w:hint="default"/>
      </w:rPr>
    </w:lvl>
    <w:lvl w:ilvl="7">
      <w:start w:val="1"/>
      <w:numFmt w:val="decimal"/>
      <w:lvlText w:val="%1.%2.%3.%4.%5.%6.%7.%8."/>
      <w:lvlJc w:val="left"/>
      <w:pPr>
        <w:ind w:left="2778" w:hanging="1134"/>
      </w:pPr>
      <w:rPr>
        <w:rFonts w:hint="default"/>
      </w:rPr>
    </w:lvl>
    <w:lvl w:ilvl="8">
      <w:start w:val="1"/>
      <w:numFmt w:val="decimal"/>
      <w:lvlText w:val="%1.%2.%3.%4.%5.%6.%7.%8.%9."/>
      <w:lvlJc w:val="left"/>
      <w:pPr>
        <w:ind w:left="2892" w:hanging="1248"/>
      </w:pPr>
      <w:rPr>
        <w:rFonts w:hint="default"/>
      </w:rPr>
    </w:lvl>
  </w:abstractNum>
  <w:abstractNum w:abstractNumId="49" w15:restartNumberingAfterBreak="0">
    <w:nsid w:val="79E926E6"/>
    <w:multiLevelType w:val="hybridMultilevel"/>
    <w:tmpl w:val="C08650C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0" w15:restartNumberingAfterBreak="0">
    <w:nsid w:val="7C202AD0"/>
    <w:multiLevelType w:val="multilevel"/>
    <w:tmpl w:val="0C44FD3E"/>
    <w:lvl w:ilvl="0">
      <w:start w:val="1"/>
      <w:numFmt w:val="decimal"/>
      <w:lvlText w:val="4.%1."/>
      <w:lvlJc w:val="left"/>
      <w:pPr>
        <w:ind w:left="680" w:hanging="340"/>
      </w:pPr>
      <w:rPr>
        <w:rFonts w:hint="default"/>
        <w:b/>
        <w:bCs/>
        <w:i w:val="0"/>
        <w:color w:val="000000" w:themeColor="text1"/>
        <w:sz w:val="19"/>
      </w:rPr>
    </w:lvl>
    <w:lvl w:ilvl="1">
      <w:start w:val="1"/>
      <w:numFmt w:val="decimal"/>
      <w:lvlText w:val="%1.%2."/>
      <w:lvlJc w:val="left"/>
      <w:pPr>
        <w:ind w:left="1134" w:hanging="454"/>
      </w:pPr>
      <w:rPr>
        <w:rFonts w:hint="default"/>
      </w:rPr>
    </w:lvl>
    <w:lvl w:ilvl="2">
      <w:start w:val="1"/>
      <w:numFmt w:val="decimal"/>
      <w:lvlText w:val="%1.%2.%3."/>
      <w:lvlJc w:val="left"/>
      <w:pPr>
        <w:ind w:left="1644" w:hanging="510"/>
      </w:pPr>
      <w:rPr>
        <w:rFonts w:hint="default"/>
      </w:rPr>
    </w:lvl>
    <w:lvl w:ilvl="3">
      <w:start w:val="1"/>
      <w:numFmt w:val="decimal"/>
      <w:lvlText w:val="%1.%2.%3.%4."/>
      <w:lvlJc w:val="left"/>
      <w:pPr>
        <w:ind w:left="2268" w:hanging="624"/>
      </w:pPr>
      <w:rPr>
        <w:rFonts w:hint="default"/>
      </w:rPr>
    </w:lvl>
    <w:lvl w:ilvl="4">
      <w:start w:val="1"/>
      <w:numFmt w:val="decimal"/>
      <w:lvlText w:val="%1.%2.%3.%4.%5."/>
      <w:lvlJc w:val="left"/>
      <w:pPr>
        <w:ind w:left="2381" w:hanging="737"/>
      </w:pPr>
      <w:rPr>
        <w:rFonts w:hint="default"/>
      </w:rPr>
    </w:lvl>
    <w:lvl w:ilvl="5">
      <w:start w:val="1"/>
      <w:numFmt w:val="decimal"/>
      <w:lvlText w:val="%1.%2.%3.%4.%5.%6."/>
      <w:lvlJc w:val="left"/>
      <w:pPr>
        <w:ind w:left="2552" w:hanging="908"/>
      </w:pPr>
      <w:rPr>
        <w:rFonts w:hint="default"/>
      </w:rPr>
    </w:lvl>
    <w:lvl w:ilvl="6">
      <w:start w:val="1"/>
      <w:numFmt w:val="decimal"/>
      <w:lvlText w:val="%1.%2.%3.%4.%5.%6.%7."/>
      <w:lvlJc w:val="left"/>
      <w:pPr>
        <w:ind w:left="2665" w:hanging="1021"/>
      </w:pPr>
      <w:rPr>
        <w:rFonts w:hint="default"/>
      </w:rPr>
    </w:lvl>
    <w:lvl w:ilvl="7">
      <w:start w:val="1"/>
      <w:numFmt w:val="decimal"/>
      <w:lvlText w:val="%1.%2.%3.%4.%5.%6.%7.%8."/>
      <w:lvlJc w:val="left"/>
      <w:pPr>
        <w:ind w:left="2778" w:hanging="1134"/>
      </w:pPr>
      <w:rPr>
        <w:rFonts w:hint="default"/>
      </w:rPr>
    </w:lvl>
    <w:lvl w:ilvl="8">
      <w:start w:val="1"/>
      <w:numFmt w:val="decimal"/>
      <w:lvlText w:val="%1.%2.%3.%4.%5.%6.%7.%8.%9."/>
      <w:lvlJc w:val="left"/>
      <w:pPr>
        <w:ind w:left="2892" w:hanging="1248"/>
      </w:pPr>
      <w:rPr>
        <w:rFonts w:hint="default"/>
      </w:rPr>
    </w:lvl>
  </w:abstractNum>
  <w:abstractNum w:abstractNumId="51" w15:restartNumberingAfterBreak="0">
    <w:nsid w:val="7DB43B03"/>
    <w:multiLevelType w:val="multilevel"/>
    <w:tmpl w:val="57D051BE"/>
    <w:lvl w:ilvl="0">
      <w:start w:val="1"/>
      <w:numFmt w:val="decimal"/>
      <w:lvlText w:val="%1."/>
      <w:lvlJc w:val="left"/>
      <w:pPr>
        <w:ind w:left="3600" w:hanging="360"/>
      </w:pPr>
      <w:rPr>
        <w:rFonts w:hint="default"/>
      </w:rPr>
    </w:lvl>
    <w:lvl w:ilvl="1">
      <w:start w:val="1"/>
      <w:numFmt w:val="decimal"/>
      <w:isLgl/>
      <w:lvlText w:val="%1.%2."/>
      <w:lvlJc w:val="left"/>
      <w:pPr>
        <w:ind w:left="3810" w:hanging="57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52" w15:restartNumberingAfterBreak="0">
    <w:nsid w:val="7E20588C"/>
    <w:multiLevelType w:val="multilevel"/>
    <w:tmpl w:val="402407EA"/>
    <w:lvl w:ilvl="0">
      <w:start w:val="1"/>
      <w:numFmt w:val="decimal"/>
      <w:pStyle w:val="Tlusetturlisti"/>
      <w:lvlText w:val="5.%1."/>
      <w:lvlJc w:val="left"/>
      <w:pPr>
        <w:ind w:left="680" w:hanging="340"/>
      </w:pPr>
      <w:rPr>
        <w:rFonts w:hint="default"/>
        <w:b/>
        <w:bCs/>
        <w:i w:val="0"/>
        <w:color w:val="000000" w:themeColor="text1"/>
        <w:sz w:val="19"/>
      </w:rPr>
    </w:lvl>
    <w:lvl w:ilvl="1">
      <w:start w:val="1"/>
      <w:numFmt w:val="decimal"/>
      <w:lvlText w:val="%1.%2."/>
      <w:lvlJc w:val="left"/>
      <w:pPr>
        <w:ind w:left="1134" w:hanging="454"/>
      </w:pPr>
      <w:rPr>
        <w:rFonts w:hint="default"/>
      </w:rPr>
    </w:lvl>
    <w:lvl w:ilvl="2">
      <w:start w:val="1"/>
      <w:numFmt w:val="decimal"/>
      <w:lvlText w:val="%1.%2.%3."/>
      <w:lvlJc w:val="left"/>
      <w:pPr>
        <w:ind w:left="1644" w:hanging="510"/>
      </w:pPr>
      <w:rPr>
        <w:rFonts w:hint="default"/>
      </w:rPr>
    </w:lvl>
    <w:lvl w:ilvl="3">
      <w:start w:val="1"/>
      <w:numFmt w:val="decimal"/>
      <w:lvlText w:val="%1.%2.%3.%4."/>
      <w:lvlJc w:val="left"/>
      <w:pPr>
        <w:ind w:left="2268" w:hanging="624"/>
      </w:pPr>
      <w:rPr>
        <w:rFonts w:hint="default"/>
      </w:rPr>
    </w:lvl>
    <w:lvl w:ilvl="4">
      <w:start w:val="1"/>
      <w:numFmt w:val="decimal"/>
      <w:lvlText w:val="%1.%2.%3.%4.%5."/>
      <w:lvlJc w:val="left"/>
      <w:pPr>
        <w:ind w:left="2381" w:hanging="737"/>
      </w:pPr>
      <w:rPr>
        <w:rFonts w:hint="default"/>
      </w:rPr>
    </w:lvl>
    <w:lvl w:ilvl="5">
      <w:start w:val="1"/>
      <w:numFmt w:val="decimal"/>
      <w:lvlText w:val="%1.%2.%3.%4.%5.%6."/>
      <w:lvlJc w:val="left"/>
      <w:pPr>
        <w:ind w:left="2552" w:hanging="908"/>
      </w:pPr>
      <w:rPr>
        <w:rFonts w:hint="default"/>
      </w:rPr>
    </w:lvl>
    <w:lvl w:ilvl="6">
      <w:start w:val="1"/>
      <w:numFmt w:val="decimal"/>
      <w:lvlText w:val="%1.%2.%3.%4.%5.%6.%7."/>
      <w:lvlJc w:val="left"/>
      <w:pPr>
        <w:ind w:left="2665" w:hanging="1021"/>
      </w:pPr>
      <w:rPr>
        <w:rFonts w:hint="default"/>
      </w:rPr>
    </w:lvl>
    <w:lvl w:ilvl="7">
      <w:start w:val="1"/>
      <w:numFmt w:val="decimal"/>
      <w:lvlText w:val="%1.%2.%3.%4.%5.%6.%7.%8."/>
      <w:lvlJc w:val="left"/>
      <w:pPr>
        <w:ind w:left="2778" w:hanging="1134"/>
      </w:pPr>
      <w:rPr>
        <w:rFonts w:hint="default"/>
      </w:rPr>
    </w:lvl>
    <w:lvl w:ilvl="8">
      <w:start w:val="1"/>
      <w:numFmt w:val="decimal"/>
      <w:lvlText w:val="%1.%2.%3.%4.%5.%6.%7.%8.%9."/>
      <w:lvlJc w:val="left"/>
      <w:pPr>
        <w:ind w:left="2892" w:hanging="1248"/>
      </w:pPr>
      <w:rPr>
        <w:rFonts w:hint="default"/>
      </w:rPr>
    </w:lvl>
  </w:abstractNum>
  <w:abstractNum w:abstractNumId="53" w15:restartNumberingAfterBreak="0">
    <w:nsid w:val="7FB354B8"/>
    <w:multiLevelType w:val="multilevel"/>
    <w:tmpl w:val="400220A6"/>
    <w:lvl w:ilvl="0">
      <w:start w:val="1"/>
      <w:numFmt w:val="bullet"/>
      <w:pStyle w:val="herslumerkturlisti"/>
      <w:lvlText w:val=""/>
      <w:lvlJc w:val="left"/>
      <w:pPr>
        <w:ind w:left="272" w:hanging="272"/>
      </w:pPr>
      <w:rPr>
        <w:rFonts w:ascii="Symbol" w:hAnsi="Symbol" w:hint="default"/>
        <w:color w:val="44546A" w:themeColor="text2"/>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
  </w:num>
  <w:num w:numId="2">
    <w:abstractNumId w:val="0"/>
  </w:num>
  <w:num w:numId="3">
    <w:abstractNumId w:val="45"/>
  </w:num>
  <w:num w:numId="4">
    <w:abstractNumId w:val="8"/>
  </w:num>
  <w:num w:numId="5">
    <w:abstractNumId w:val="20"/>
  </w:num>
  <w:num w:numId="6">
    <w:abstractNumId w:val="2"/>
  </w:num>
  <w:num w:numId="7">
    <w:abstractNumId w:val="32"/>
  </w:num>
  <w:num w:numId="8">
    <w:abstractNumId w:val="46"/>
  </w:num>
  <w:num w:numId="9">
    <w:abstractNumId w:val="17"/>
  </w:num>
  <w:num w:numId="10">
    <w:abstractNumId w:val="10"/>
  </w:num>
  <w:num w:numId="11">
    <w:abstractNumId w:val="31"/>
  </w:num>
  <w:num w:numId="12">
    <w:abstractNumId w:val="18"/>
  </w:num>
  <w:num w:numId="13">
    <w:abstractNumId w:val="30"/>
  </w:num>
  <w:num w:numId="14">
    <w:abstractNumId w:val="11"/>
  </w:num>
  <w:num w:numId="15">
    <w:abstractNumId w:val="4"/>
  </w:num>
  <w:num w:numId="16">
    <w:abstractNumId w:val="36"/>
  </w:num>
  <w:num w:numId="17">
    <w:abstractNumId w:val="49"/>
  </w:num>
  <w:num w:numId="18">
    <w:abstractNumId w:val="33"/>
  </w:num>
  <w:num w:numId="19">
    <w:abstractNumId w:val="51"/>
  </w:num>
  <w:num w:numId="20">
    <w:abstractNumId w:val="34"/>
  </w:num>
  <w:num w:numId="21">
    <w:abstractNumId w:val="38"/>
  </w:num>
  <w:num w:numId="22">
    <w:abstractNumId w:val="53"/>
  </w:num>
  <w:num w:numId="23">
    <w:abstractNumId w:val="52"/>
  </w:num>
  <w:num w:numId="24">
    <w:abstractNumId w:val="37"/>
  </w:num>
  <w:num w:numId="25">
    <w:abstractNumId w:val="50"/>
  </w:num>
  <w:num w:numId="26">
    <w:abstractNumId w:val="48"/>
  </w:num>
  <w:num w:numId="27">
    <w:abstractNumId w:val="41"/>
  </w:num>
  <w:num w:numId="28">
    <w:abstractNumId w:val="35"/>
  </w:num>
  <w:num w:numId="29">
    <w:abstractNumId w:val="44"/>
  </w:num>
  <w:num w:numId="30">
    <w:abstractNumId w:val="23"/>
  </w:num>
  <w:num w:numId="31">
    <w:abstractNumId w:val="12"/>
  </w:num>
  <w:num w:numId="32">
    <w:abstractNumId w:val="26"/>
  </w:num>
  <w:num w:numId="33">
    <w:abstractNumId w:val="19"/>
  </w:num>
  <w:num w:numId="34">
    <w:abstractNumId w:val="7"/>
  </w:num>
  <w:num w:numId="35">
    <w:abstractNumId w:val="14"/>
  </w:num>
  <w:num w:numId="36">
    <w:abstractNumId w:val="27"/>
  </w:num>
  <w:num w:numId="37">
    <w:abstractNumId w:val="24"/>
  </w:num>
  <w:num w:numId="38">
    <w:abstractNumId w:val="3"/>
  </w:num>
  <w:num w:numId="39">
    <w:abstractNumId w:val="21"/>
  </w:num>
  <w:num w:numId="40">
    <w:abstractNumId w:val="40"/>
  </w:num>
  <w:num w:numId="41">
    <w:abstractNumId w:val="22"/>
  </w:num>
  <w:num w:numId="42">
    <w:abstractNumId w:val="15"/>
  </w:num>
  <w:num w:numId="43">
    <w:abstractNumId w:val="42"/>
  </w:num>
  <w:num w:numId="44">
    <w:abstractNumId w:val="47"/>
  </w:num>
  <w:num w:numId="45">
    <w:abstractNumId w:val="5"/>
  </w:num>
  <w:num w:numId="46">
    <w:abstractNumId w:val="43"/>
  </w:num>
  <w:num w:numId="47">
    <w:abstractNumId w:val="9"/>
  </w:num>
  <w:num w:numId="48">
    <w:abstractNumId w:val="25"/>
  </w:num>
  <w:num w:numId="49">
    <w:abstractNumId w:val="6"/>
  </w:num>
  <w:num w:numId="50">
    <w:abstractNumId w:val="29"/>
  </w:num>
  <w:num w:numId="51">
    <w:abstractNumId w:val="39"/>
  </w:num>
  <w:num w:numId="52">
    <w:abstractNumId w:val="16"/>
  </w:num>
  <w:num w:numId="53">
    <w:abstractNumId w:val="13"/>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BC"/>
    <w:rsid w:val="000003A0"/>
    <w:rsid w:val="0000256E"/>
    <w:rsid w:val="00010734"/>
    <w:rsid w:val="000262DA"/>
    <w:rsid w:val="00030C42"/>
    <w:rsid w:val="00041867"/>
    <w:rsid w:val="00044D6E"/>
    <w:rsid w:val="00046946"/>
    <w:rsid w:val="00047717"/>
    <w:rsid w:val="00060170"/>
    <w:rsid w:val="00063CC6"/>
    <w:rsid w:val="00066DA5"/>
    <w:rsid w:val="00082C1E"/>
    <w:rsid w:val="00083902"/>
    <w:rsid w:val="000852D6"/>
    <w:rsid w:val="00097F4A"/>
    <w:rsid w:val="000A0FE8"/>
    <w:rsid w:val="000A5BD6"/>
    <w:rsid w:val="000A7848"/>
    <w:rsid w:val="000C2C3E"/>
    <w:rsid w:val="000C7188"/>
    <w:rsid w:val="000D0817"/>
    <w:rsid w:val="000D5EBC"/>
    <w:rsid w:val="000E0BBE"/>
    <w:rsid w:val="000E2BD5"/>
    <w:rsid w:val="000F0F41"/>
    <w:rsid w:val="000F30E9"/>
    <w:rsid w:val="000F4472"/>
    <w:rsid w:val="000F4615"/>
    <w:rsid w:val="001204C8"/>
    <w:rsid w:val="00123C3E"/>
    <w:rsid w:val="00156B1E"/>
    <w:rsid w:val="001700AB"/>
    <w:rsid w:val="00180819"/>
    <w:rsid w:val="00184312"/>
    <w:rsid w:val="00196564"/>
    <w:rsid w:val="001B3F3F"/>
    <w:rsid w:val="001B5C74"/>
    <w:rsid w:val="001C5B9F"/>
    <w:rsid w:val="001F3DAB"/>
    <w:rsid w:val="0020041C"/>
    <w:rsid w:val="00205DAE"/>
    <w:rsid w:val="002159FF"/>
    <w:rsid w:val="0022394A"/>
    <w:rsid w:val="002319A0"/>
    <w:rsid w:val="00244100"/>
    <w:rsid w:val="002575D5"/>
    <w:rsid w:val="0026355C"/>
    <w:rsid w:val="002712B5"/>
    <w:rsid w:val="002763D0"/>
    <w:rsid w:val="00291EB8"/>
    <w:rsid w:val="002A0753"/>
    <w:rsid w:val="002A3156"/>
    <w:rsid w:val="002D5159"/>
    <w:rsid w:val="002D5733"/>
    <w:rsid w:val="002E5907"/>
    <w:rsid w:val="002E7193"/>
    <w:rsid w:val="002E765A"/>
    <w:rsid w:val="00311868"/>
    <w:rsid w:val="00312C0E"/>
    <w:rsid w:val="00312F34"/>
    <w:rsid w:val="003205AC"/>
    <w:rsid w:val="00342C57"/>
    <w:rsid w:val="00345379"/>
    <w:rsid w:val="0035425B"/>
    <w:rsid w:val="00356934"/>
    <w:rsid w:val="00360D6F"/>
    <w:rsid w:val="00365E73"/>
    <w:rsid w:val="00384646"/>
    <w:rsid w:val="00390CC5"/>
    <w:rsid w:val="003917F4"/>
    <w:rsid w:val="00392CAE"/>
    <w:rsid w:val="0039471D"/>
    <w:rsid w:val="00395EE3"/>
    <w:rsid w:val="003A3CEA"/>
    <w:rsid w:val="003A681E"/>
    <w:rsid w:val="003B4DFA"/>
    <w:rsid w:val="003B4E35"/>
    <w:rsid w:val="003B57D7"/>
    <w:rsid w:val="003B6B56"/>
    <w:rsid w:val="003C2AF8"/>
    <w:rsid w:val="003C3989"/>
    <w:rsid w:val="003D7EFA"/>
    <w:rsid w:val="003E329E"/>
    <w:rsid w:val="003F031E"/>
    <w:rsid w:val="00402529"/>
    <w:rsid w:val="00407189"/>
    <w:rsid w:val="004326D8"/>
    <w:rsid w:val="00437779"/>
    <w:rsid w:val="004474B4"/>
    <w:rsid w:val="00450EC2"/>
    <w:rsid w:val="00452975"/>
    <w:rsid w:val="00474ED0"/>
    <w:rsid w:val="004766EF"/>
    <w:rsid w:val="0047735B"/>
    <w:rsid w:val="0048197C"/>
    <w:rsid w:val="00482B8D"/>
    <w:rsid w:val="0048687B"/>
    <w:rsid w:val="00487DBC"/>
    <w:rsid w:val="00491277"/>
    <w:rsid w:val="00492638"/>
    <w:rsid w:val="004934DF"/>
    <w:rsid w:val="0049606B"/>
    <w:rsid w:val="004971D0"/>
    <w:rsid w:val="00497DE4"/>
    <w:rsid w:val="004B1F33"/>
    <w:rsid w:val="004B744C"/>
    <w:rsid w:val="004C3062"/>
    <w:rsid w:val="004C4D11"/>
    <w:rsid w:val="004E492F"/>
    <w:rsid w:val="00507601"/>
    <w:rsid w:val="00512631"/>
    <w:rsid w:val="00522D75"/>
    <w:rsid w:val="00523116"/>
    <w:rsid w:val="00567FBF"/>
    <w:rsid w:val="0058080A"/>
    <w:rsid w:val="005B40BA"/>
    <w:rsid w:val="005B523F"/>
    <w:rsid w:val="005B631C"/>
    <w:rsid w:val="005C6B95"/>
    <w:rsid w:val="005F7276"/>
    <w:rsid w:val="00604F09"/>
    <w:rsid w:val="006050CA"/>
    <w:rsid w:val="006211C7"/>
    <w:rsid w:val="00624873"/>
    <w:rsid w:val="006352F8"/>
    <w:rsid w:val="006439EA"/>
    <w:rsid w:val="00663BD6"/>
    <w:rsid w:val="0066737A"/>
    <w:rsid w:val="00671793"/>
    <w:rsid w:val="0067338E"/>
    <w:rsid w:val="00680330"/>
    <w:rsid w:val="00684048"/>
    <w:rsid w:val="0069303F"/>
    <w:rsid w:val="006938B5"/>
    <w:rsid w:val="006A6E2B"/>
    <w:rsid w:val="006B189B"/>
    <w:rsid w:val="006C3253"/>
    <w:rsid w:val="006C5B7B"/>
    <w:rsid w:val="006C72FE"/>
    <w:rsid w:val="006D129F"/>
    <w:rsid w:val="006D4A43"/>
    <w:rsid w:val="006D683E"/>
    <w:rsid w:val="006E11A4"/>
    <w:rsid w:val="006F1598"/>
    <w:rsid w:val="00707D37"/>
    <w:rsid w:val="00714D13"/>
    <w:rsid w:val="00715642"/>
    <w:rsid w:val="0073358E"/>
    <w:rsid w:val="00733F0E"/>
    <w:rsid w:val="00741D20"/>
    <w:rsid w:val="007459A5"/>
    <w:rsid w:val="00752C76"/>
    <w:rsid w:val="007568D5"/>
    <w:rsid w:val="007726F3"/>
    <w:rsid w:val="0077735D"/>
    <w:rsid w:val="00787E56"/>
    <w:rsid w:val="00791DD5"/>
    <w:rsid w:val="00793E4E"/>
    <w:rsid w:val="007A08F8"/>
    <w:rsid w:val="007B0EBB"/>
    <w:rsid w:val="007B13EF"/>
    <w:rsid w:val="007B61A9"/>
    <w:rsid w:val="007B7081"/>
    <w:rsid w:val="007B7954"/>
    <w:rsid w:val="007C7C36"/>
    <w:rsid w:val="007E66FB"/>
    <w:rsid w:val="007F02AE"/>
    <w:rsid w:val="007F5B17"/>
    <w:rsid w:val="00802D9B"/>
    <w:rsid w:val="0081759F"/>
    <w:rsid w:val="0082516E"/>
    <w:rsid w:val="00830874"/>
    <w:rsid w:val="00851934"/>
    <w:rsid w:val="00851ED3"/>
    <w:rsid w:val="00855241"/>
    <w:rsid w:val="00864A0A"/>
    <w:rsid w:val="00867FED"/>
    <w:rsid w:val="00882361"/>
    <w:rsid w:val="00895423"/>
    <w:rsid w:val="008A1080"/>
    <w:rsid w:val="008A28D9"/>
    <w:rsid w:val="008A2E71"/>
    <w:rsid w:val="008A69A2"/>
    <w:rsid w:val="008B4620"/>
    <w:rsid w:val="008B5138"/>
    <w:rsid w:val="008C4032"/>
    <w:rsid w:val="008C736E"/>
    <w:rsid w:val="008D6D45"/>
    <w:rsid w:val="008E117E"/>
    <w:rsid w:val="008E24E4"/>
    <w:rsid w:val="008E5ACD"/>
    <w:rsid w:val="0090511A"/>
    <w:rsid w:val="00931C90"/>
    <w:rsid w:val="00935A23"/>
    <w:rsid w:val="009369D0"/>
    <w:rsid w:val="00944CAA"/>
    <w:rsid w:val="009461B3"/>
    <w:rsid w:val="00975870"/>
    <w:rsid w:val="009763EE"/>
    <w:rsid w:val="0098267A"/>
    <w:rsid w:val="00995AE8"/>
    <w:rsid w:val="009A4DB0"/>
    <w:rsid w:val="009B2C2B"/>
    <w:rsid w:val="009B4E70"/>
    <w:rsid w:val="009C2D77"/>
    <w:rsid w:val="009C7A62"/>
    <w:rsid w:val="009C7AEB"/>
    <w:rsid w:val="009C7F3C"/>
    <w:rsid w:val="009E281A"/>
    <w:rsid w:val="009F3040"/>
    <w:rsid w:val="009F5940"/>
    <w:rsid w:val="00A25D0D"/>
    <w:rsid w:val="00A42778"/>
    <w:rsid w:val="00A456B6"/>
    <w:rsid w:val="00A469F3"/>
    <w:rsid w:val="00A57876"/>
    <w:rsid w:val="00A6037B"/>
    <w:rsid w:val="00A612D0"/>
    <w:rsid w:val="00A76093"/>
    <w:rsid w:val="00A90C67"/>
    <w:rsid w:val="00AA78E7"/>
    <w:rsid w:val="00AB0F47"/>
    <w:rsid w:val="00AB168E"/>
    <w:rsid w:val="00AB4AC8"/>
    <w:rsid w:val="00AC3E26"/>
    <w:rsid w:val="00AD1EB0"/>
    <w:rsid w:val="00AE4FAA"/>
    <w:rsid w:val="00AF26B6"/>
    <w:rsid w:val="00AF581E"/>
    <w:rsid w:val="00B12C4C"/>
    <w:rsid w:val="00B3455A"/>
    <w:rsid w:val="00B36DD3"/>
    <w:rsid w:val="00B42B57"/>
    <w:rsid w:val="00B501D2"/>
    <w:rsid w:val="00B5476F"/>
    <w:rsid w:val="00B600C9"/>
    <w:rsid w:val="00B62905"/>
    <w:rsid w:val="00B73906"/>
    <w:rsid w:val="00B759E6"/>
    <w:rsid w:val="00B86FC9"/>
    <w:rsid w:val="00B91C1B"/>
    <w:rsid w:val="00B93A94"/>
    <w:rsid w:val="00B954A2"/>
    <w:rsid w:val="00BA2EC1"/>
    <w:rsid w:val="00BB0F94"/>
    <w:rsid w:val="00BB2411"/>
    <w:rsid w:val="00BB6B10"/>
    <w:rsid w:val="00BC2547"/>
    <w:rsid w:val="00BC4778"/>
    <w:rsid w:val="00BC588C"/>
    <w:rsid w:val="00BD20C7"/>
    <w:rsid w:val="00BD3D12"/>
    <w:rsid w:val="00BE6BDE"/>
    <w:rsid w:val="00BF3D23"/>
    <w:rsid w:val="00BF528E"/>
    <w:rsid w:val="00BF5EE9"/>
    <w:rsid w:val="00C217E5"/>
    <w:rsid w:val="00C27268"/>
    <w:rsid w:val="00C34A72"/>
    <w:rsid w:val="00C45320"/>
    <w:rsid w:val="00C50148"/>
    <w:rsid w:val="00C52F1F"/>
    <w:rsid w:val="00C601EF"/>
    <w:rsid w:val="00C6107C"/>
    <w:rsid w:val="00C617C0"/>
    <w:rsid w:val="00C642CC"/>
    <w:rsid w:val="00C65742"/>
    <w:rsid w:val="00C77215"/>
    <w:rsid w:val="00C84615"/>
    <w:rsid w:val="00C84620"/>
    <w:rsid w:val="00C943D6"/>
    <w:rsid w:val="00CA1832"/>
    <w:rsid w:val="00CA1D37"/>
    <w:rsid w:val="00CC622D"/>
    <w:rsid w:val="00CC7D38"/>
    <w:rsid w:val="00CE1B99"/>
    <w:rsid w:val="00CE56A5"/>
    <w:rsid w:val="00D0235E"/>
    <w:rsid w:val="00D3582D"/>
    <w:rsid w:val="00D40031"/>
    <w:rsid w:val="00D41B5D"/>
    <w:rsid w:val="00D51EC1"/>
    <w:rsid w:val="00D54250"/>
    <w:rsid w:val="00D56569"/>
    <w:rsid w:val="00D637F6"/>
    <w:rsid w:val="00D710D3"/>
    <w:rsid w:val="00D726F0"/>
    <w:rsid w:val="00D809C6"/>
    <w:rsid w:val="00D95E83"/>
    <w:rsid w:val="00DB1A7D"/>
    <w:rsid w:val="00DB78E8"/>
    <w:rsid w:val="00DD087A"/>
    <w:rsid w:val="00DD1E41"/>
    <w:rsid w:val="00DD408C"/>
    <w:rsid w:val="00DD57C9"/>
    <w:rsid w:val="00DE2491"/>
    <w:rsid w:val="00DE2FA5"/>
    <w:rsid w:val="00DE3C45"/>
    <w:rsid w:val="00DE4700"/>
    <w:rsid w:val="00DF6280"/>
    <w:rsid w:val="00E002B3"/>
    <w:rsid w:val="00E01E63"/>
    <w:rsid w:val="00E116C4"/>
    <w:rsid w:val="00E16E4F"/>
    <w:rsid w:val="00E23E33"/>
    <w:rsid w:val="00E25E6E"/>
    <w:rsid w:val="00E310BB"/>
    <w:rsid w:val="00E321C8"/>
    <w:rsid w:val="00E344F8"/>
    <w:rsid w:val="00E403C3"/>
    <w:rsid w:val="00E460B1"/>
    <w:rsid w:val="00E53C5D"/>
    <w:rsid w:val="00E678FF"/>
    <w:rsid w:val="00E72BEC"/>
    <w:rsid w:val="00E749D8"/>
    <w:rsid w:val="00E803DB"/>
    <w:rsid w:val="00E82531"/>
    <w:rsid w:val="00E829BA"/>
    <w:rsid w:val="00E85351"/>
    <w:rsid w:val="00E86473"/>
    <w:rsid w:val="00EA1A42"/>
    <w:rsid w:val="00EB3D6D"/>
    <w:rsid w:val="00EC04F3"/>
    <w:rsid w:val="00EC40EF"/>
    <w:rsid w:val="00EC49E7"/>
    <w:rsid w:val="00EC4FD7"/>
    <w:rsid w:val="00EC66FD"/>
    <w:rsid w:val="00ED4BD3"/>
    <w:rsid w:val="00ED4E73"/>
    <w:rsid w:val="00EE0680"/>
    <w:rsid w:val="00EF7C74"/>
    <w:rsid w:val="00F05B89"/>
    <w:rsid w:val="00F05FA5"/>
    <w:rsid w:val="00F31CE8"/>
    <w:rsid w:val="00F33179"/>
    <w:rsid w:val="00F335F8"/>
    <w:rsid w:val="00F40D4B"/>
    <w:rsid w:val="00F43D02"/>
    <w:rsid w:val="00F46F0E"/>
    <w:rsid w:val="00F5473C"/>
    <w:rsid w:val="00F5486C"/>
    <w:rsid w:val="00F61E9F"/>
    <w:rsid w:val="00F773E1"/>
    <w:rsid w:val="00F91386"/>
    <w:rsid w:val="00F934A9"/>
    <w:rsid w:val="00F956C2"/>
    <w:rsid w:val="00F96C08"/>
    <w:rsid w:val="00FA2A6C"/>
    <w:rsid w:val="00FA728E"/>
    <w:rsid w:val="00FD0B1D"/>
    <w:rsid w:val="00FD2D7A"/>
    <w:rsid w:val="00FD5A15"/>
    <w:rsid w:val="00FE2CDE"/>
    <w:rsid w:val="00FE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D625"/>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0F30E9"/>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uiPriority w:val="9"/>
    <w:qFormat/>
    <w:rsid w:val="00205DAE"/>
    <w:pPr>
      <w:keepNext/>
      <w:keepLines/>
      <w:pageBreakBefore/>
      <w:numPr>
        <w:numId w:val="21"/>
      </w:numPr>
      <w:spacing w:after="300" w:line="528" w:lineRule="atLeast"/>
      <w:ind w:left="709" w:hanging="709"/>
      <w:contextualSpacing/>
      <w:jc w:val="left"/>
      <w:outlineLvl w:val="0"/>
    </w:pPr>
    <w:rPr>
      <w:rFonts w:ascii="FiraGO SemiBold" w:eastAsiaTheme="majorEastAsia" w:hAnsi="FiraGO SemiBold" w:cstheme="majorBidi"/>
      <w:bCs/>
      <w:color w:val="44546A" w:themeColor="text2"/>
      <w:sz w:val="48"/>
      <w:szCs w:val="28"/>
    </w:rPr>
  </w:style>
  <w:style w:type="paragraph" w:styleId="Fyrirsgn2">
    <w:name w:val="heading 2"/>
    <w:basedOn w:val="Venjulegur"/>
    <w:next w:val="Venjulegur"/>
    <w:link w:val="Fyrirsgn2Staf"/>
    <w:uiPriority w:val="9"/>
    <w:qFormat/>
    <w:rsid w:val="00205DAE"/>
    <w:pPr>
      <w:keepNext/>
      <w:keepLines/>
      <w:numPr>
        <w:ilvl w:val="1"/>
        <w:numId w:val="21"/>
      </w:numPr>
      <w:spacing w:before="260" w:line="305" w:lineRule="atLeast"/>
      <w:ind w:left="709" w:hanging="709"/>
      <w:contextualSpacing/>
      <w:jc w:val="left"/>
      <w:outlineLvl w:val="1"/>
    </w:pPr>
    <w:rPr>
      <w:rFonts w:ascii="FiraGO SemiBold" w:eastAsiaTheme="majorEastAsia" w:hAnsi="FiraGO SemiBold" w:cstheme="majorBidi"/>
      <w:bCs/>
      <w:color w:val="44546A" w:themeColor="text2"/>
      <w:sz w:val="28"/>
      <w:szCs w:val="26"/>
    </w:rPr>
  </w:style>
  <w:style w:type="paragraph" w:styleId="Fyrirsgn3">
    <w:name w:val="heading 3"/>
    <w:basedOn w:val="Venjulegur"/>
    <w:next w:val="Venjulegur"/>
    <w:link w:val="Fyrirsgn3Staf"/>
    <w:uiPriority w:val="9"/>
    <w:qFormat/>
    <w:rsid w:val="00205DAE"/>
    <w:pPr>
      <w:keepNext/>
      <w:keepLines/>
      <w:numPr>
        <w:ilvl w:val="2"/>
        <w:numId w:val="21"/>
      </w:numPr>
      <w:spacing w:before="260" w:line="305" w:lineRule="atLeast"/>
      <w:contextualSpacing/>
      <w:jc w:val="left"/>
      <w:outlineLvl w:val="2"/>
    </w:pPr>
    <w:rPr>
      <w:rFonts w:ascii="FiraGO SemiBold" w:eastAsiaTheme="majorEastAsia" w:hAnsi="FiraGO SemiBold" w:cstheme="majorBidi"/>
      <w:bCs/>
      <w:color w:val="44546A" w:themeColor="text2"/>
      <w:sz w:val="19"/>
      <w:szCs w:val="19"/>
    </w:rPr>
  </w:style>
  <w:style w:type="paragraph" w:styleId="Fyrirsgn4">
    <w:name w:val="heading 4"/>
    <w:basedOn w:val="Venjulegur"/>
    <w:next w:val="Venjulegur"/>
    <w:link w:val="Fyrirsgn4Staf"/>
    <w:uiPriority w:val="9"/>
    <w:qFormat/>
    <w:rsid w:val="00205DAE"/>
    <w:pPr>
      <w:keepNext/>
      <w:keepLines/>
      <w:numPr>
        <w:ilvl w:val="3"/>
        <w:numId w:val="21"/>
      </w:numPr>
      <w:spacing w:before="260" w:line="305" w:lineRule="atLeast"/>
      <w:ind w:left="0" w:firstLine="0"/>
      <w:contextualSpacing/>
      <w:jc w:val="left"/>
      <w:outlineLvl w:val="3"/>
    </w:pPr>
    <w:rPr>
      <w:rFonts w:ascii="FiraGO SemiBold" w:eastAsiaTheme="majorEastAsia" w:hAnsi="FiraGO SemiBold" w:cstheme="majorBidi"/>
      <w:bCs/>
      <w:iCs/>
      <w:color w:val="44546A" w:themeColor="text2"/>
      <w:sz w:val="20"/>
      <w:szCs w:val="20"/>
    </w:rPr>
  </w:style>
  <w:style w:type="paragraph" w:styleId="Fyrirsgn5">
    <w:name w:val="heading 5"/>
    <w:basedOn w:val="Venjulegur"/>
    <w:next w:val="Venjulegur"/>
    <w:link w:val="Fyrirsgn5Staf"/>
    <w:uiPriority w:val="9"/>
    <w:qFormat/>
    <w:rsid w:val="00205DAE"/>
    <w:pPr>
      <w:keepNext/>
      <w:keepLines/>
      <w:numPr>
        <w:ilvl w:val="4"/>
        <w:numId w:val="21"/>
      </w:numPr>
      <w:tabs>
        <w:tab w:val="left" w:pos="284"/>
      </w:tabs>
      <w:spacing w:before="260" w:after="120" w:line="305" w:lineRule="atLeast"/>
      <w:ind w:left="992" w:hanging="992"/>
      <w:contextualSpacing/>
      <w:jc w:val="left"/>
      <w:outlineLvl w:val="4"/>
    </w:pPr>
    <w:rPr>
      <w:rFonts w:ascii="FiraGO Light" w:eastAsiaTheme="majorEastAsia" w:hAnsi="FiraGO Light" w:cstheme="majorBidi"/>
      <w:b/>
      <w:color w:val="44546A" w:themeColor="text2"/>
      <w:sz w:val="19"/>
      <w:szCs w:val="19"/>
    </w:rPr>
  </w:style>
  <w:style w:type="paragraph" w:styleId="Fyrirsgn6">
    <w:name w:val="heading 6"/>
    <w:basedOn w:val="Venjulegur"/>
    <w:next w:val="Venjulegur"/>
    <w:link w:val="Fyrirsgn6Staf"/>
    <w:uiPriority w:val="1"/>
    <w:semiHidden/>
    <w:qFormat/>
    <w:rsid w:val="00205DAE"/>
    <w:pPr>
      <w:keepNext/>
      <w:keepLines/>
      <w:numPr>
        <w:ilvl w:val="5"/>
        <w:numId w:val="21"/>
      </w:numPr>
      <w:tabs>
        <w:tab w:val="left" w:pos="340"/>
      </w:tabs>
      <w:spacing w:before="260" w:after="160" w:line="305" w:lineRule="atLeast"/>
      <w:contextualSpacing/>
      <w:jc w:val="left"/>
      <w:outlineLvl w:val="5"/>
    </w:pPr>
    <w:rPr>
      <w:rFonts w:ascii="FiraGO Light" w:eastAsiaTheme="majorEastAsia" w:hAnsi="FiraGO Light" w:cstheme="majorBidi"/>
      <w:b/>
      <w:iCs/>
      <w:sz w:val="19"/>
      <w:szCs w:val="19"/>
    </w:rPr>
  </w:style>
  <w:style w:type="paragraph" w:styleId="Fyrirsgn7">
    <w:name w:val="heading 7"/>
    <w:basedOn w:val="Venjulegur"/>
    <w:next w:val="Venjulegur"/>
    <w:link w:val="Fyrirsgn7Staf"/>
    <w:uiPriority w:val="1"/>
    <w:semiHidden/>
    <w:qFormat/>
    <w:rsid w:val="00205DAE"/>
    <w:pPr>
      <w:keepNext/>
      <w:keepLines/>
      <w:numPr>
        <w:ilvl w:val="6"/>
        <w:numId w:val="21"/>
      </w:numPr>
      <w:tabs>
        <w:tab w:val="left" w:pos="340"/>
      </w:tabs>
      <w:spacing w:before="260" w:after="160" w:line="305" w:lineRule="atLeast"/>
      <w:contextualSpacing/>
      <w:jc w:val="left"/>
      <w:outlineLvl w:val="6"/>
    </w:pPr>
    <w:rPr>
      <w:rFonts w:ascii="FiraGO Light" w:eastAsiaTheme="majorEastAsia" w:hAnsi="FiraGO Light" w:cstheme="majorBidi"/>
      <w:b/>
      <w:iCs/>
      <w:sz w:val="19"/>
      <w:szCs w:val="19"/>
    </w:rPr>
  </w:style>
  <w:style w:type="paragraph" w:styleId="Fyrirsgn8">
    <w:name w:val="heading 8"/>
    <w:basedOn w:val="Venjulegur"/>
    <w:next w:val="Venjulegur"/>
    <w:link w:val="Fyrirsgn8Staf"/>
    <w:uiPriority w:val="1"/>
    <w:semiHidden/>
    <w:qFormat/>
    <w:rsid w:val="00205DAE"/>
    <w:pPr>
      <w:keepNext/>
      <w:keepLines/>
      <w:numPr>
        <w:ilvl w:val="7"/>
        <w:numId w:val="21"/>
      </w:numPr>
      <w:tabs>
        <w:tab w:val="left" w:pos="340"/>
      </w:tabs>
      <w:spacing w:before="260" w:after="160" w:line="305" w:lineRule="atLeast"/>
      <w:contextualSpacing/>
      <w:jc w:val="left"/>
      <w:outlineLvl w:val="7"/>
    </w:pPr>
    <w:rPr>
      <w:rFonts w:ascii="FiraGO Light" w:eastAsiaTheme="majorEastAsia" w:hAnsi="FiraGO Light" w:cstheme="majorBidi"/>
      <w:b/>
      <w:sz w:val="19"/>
      <w:szCs w:val="20"/>
    </w:rPr>
  </w:style>
  <w:style w:type="paragraph" w:styleId="Fyrirsgn9">
    <w:name w:val="heading 9"/>
    <w:basedOn w:val="Venjulegur"/>
    <w:next w:val="Venjulegur"/>
    <w:link w:val="Fyrirsgn9Staf"/>
    <w:uiPriority w:val="1"/>
    <w:semiHidden/>
    <w:qFormat/>
    <w:rsid w:val="00205DAE"/>
    <w:pPr>
      <w:keepNext/>
      <w:keepLines/>
      <w:numPr>
        <w:ilvl w:val="8"/>
        <w:numId w:val="21"/>
      </w:numPr>
      <w:tabs>
        <w:tab w:val="left" w:pos="340"/>
      </w:tabs>
      <w:spacing w:before="260" w:after="160" w:line="305" w:lineRule="atLeast"/>
      <w:contextualSpacing/>
      <w:jc w:val="left"/>
      <w:outlineLvl w:val="8"/>
    </w:pPr>
    <w:rPr>
      <w:rFonts w:ascii="FiraGO Light" w:eastAsiaTheme="majorEastAsia" w:hAnsi="FiraGO Light" w:cstheme="majorBidi"/>
      <w:b/>
      <w:iCs/>
      <w:sz w:val="19"/>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customStyle="1" w:styleId="Fyrirsgn-Greinarger">
    <w:name w:val="Fyrirsögn - Greinargerð"/>
    <w:basedOn w:val="Venjulegur"/>
    <w:next w:val="Venjulegur"/>
    <w:qFormat/>
    <w:rsid w:val="008C736E"/>
    <w:pPr>
      <w:ind w:firstLine="0"/>
      <w:jc w:val="center"/>
    </w:pPr>
    <w:rPr>
      <w:spacing w:val="44"/>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E72BEC"/>
    <w:pPr>
      <w:keepNext/>
      <w:ind w:firstLine="0"/>
    </w:pPr>
    <w:rPr>
      <w:i/>
    </w:rPr>
  </w:style>
  <w:style w:type="paragraph" w:customStyle="1" w:styleId="Millifyrirsgn1">
    <w:name w:val="Millifyrirsögn 1"/>
    <w:basedOn w:val="Venjulegur"/>
    <w:next w:val="Venjulegur"/>
    <w:qFormat/>
    <w:rsid w:val="00E72BEC"/>
    <w:pPr>
      <w:keepNext/>
      <w:ind w:firstLine="0"/>
    </w:pPr>
    <w:rPr>
      <w:b/>
    </w:rPr>
  </w:style>
  <w:style w:type="paragraph" w:customStyle="1" w:styleId="Fyrirsgn-skjalategund">
    <w:name w:val="Fyrirsögn - skjalategund"/>
    <w:basedOn w:val="Venjulegur"/>
    <w:next w:val="Venjulegur"/>
    <w:qFormat/>
    <w:rsid w:val="000A5BD6"/>
    <w:pPr>
      <w:spacing w:before="480" w:after="240"/>
      <w:ind w:firstLine="0"/>
      <w:jc w:val="center"/>
    </w:pPr>
    <w:rPr>
      <w:b/>
      <w:sz w:val="32"/>
    </w:rPr>
  </w:style>
  <w:style w:type="paragraph" w:customStyle="1" w:styleId="Fyrirsgn-undirfyrirsgn">
    <w:name w:val="Fyrirsögn - undirfyrirsögn"/>
    <w:basedOn w:val="Venjulegur"/>
    <w:next w:val="Venjulegur"/>
    <w:qFormat/>
    <w:rsid w:val="006352F8"/>
    <w:pPr>
      <w:ind w:firstLine="0"/>
      <w:jc w:val="center"/>
    </w:pPr>
    <w:rPr>
      <w:b/>
    </w:rPr>
  </w:style>
  <w:style w:type="paragraph" w:customStyle="1" w:styleId="Fyrirsgn-fylgiskjl">
    <w:name w:val="Fyrirsögn - fylgiskjöl"/>
    <w:basedOn w:val="Venjulegur"/>
    <w:next w:val="Venjulegur"/>
    <w:qFormat/>
    <w:rsid w:val="0039471D"/>
    <w:pPr>
      <w:ind w:firstLine="0"/>
      <w:jc w:val="left"/>
    </w:pPr>
    <w:rPr>
      <w:b/>
      <w:u w:val="single"/>
    </w:rPr>
  </w:style>
  <w:style w:type="paragraph" w:styleId="Suhaus">
    <w:name w:val="header"/>
    <w:basedOn w:val="Venjulegur"/>
    <w:link w:val="SuhausStaf"/>
    <w:uiPriority w:val="99"/>
    <w:unhideWhenUsed/>
    <w:rsid w:val="00A612D0"/>
    <w:pPr>
      <w:tabs>
        <w:tab w:val="center" w:pos="4536"/>
        <w:tab w:val="right" w:pos="9072"/>
      </w:tabs>
    </w:pPr>
  </w:style>
  <w:style w:type="character" w:customStyle="1" w:styleId="SuhausStaf">
    <w:name w:val="Síðuhaus Staf"/>
    <w:link w:val="Suhaus"/>
    <w:uiPriority w:val="99"/>
    <w:rsid w:val="00A612D0"/>
    <w:rPr>
      <w:rFonts w:ascii="Times New Roman" w:hAnsi="Times New Roman"/>
      <w:sz w:val="21"/>
      <w:szCs w:val="22"/>
      <w:lang w:eastAsia="en-US"/>
    </w:rPr>
  </w:style>
  <w:style w:type="paragraph" w:styleId="Suftur">
    <w:name w:val="footer"/>
    <w:basedOn w:val="Venjulegur"/>
    <w:link w:val="SufturStaf"/>
    <w:uiPriority w:val="99"/>
    <w:unhideWhenUsed/>
    <w:rsid w:val="00A612D0"/>
    <w:pPr>
      <w:tabs>
        <w:tab w:val="center" w:pos="4536"/>
        <w:tab w:val="right" w:pos="9072"/>
      </w:tabs>
    </w:pPr>
  </w:style>
  <w:style w:type="character" w:customStyle="1" w:styleId="SufturStaf">
    <w:name w:val="Síðufótur Staf"/>
    <w:link w:val="Suftur"/>
    <w:uiPriority w:val="99"/>
    <w:rsid w:val="00A612D0"/>
    <w:rPr>
      <w:rFonts w:ascii="Times New Roman" w:hAnsi="Times New Roman"/>
      <w:sz w:val="21"/>
      <w:szCs w:val="22"/>
      <w:lang w:eastAsia="en-US"/>
    </w:rPr>
  </w:style>
  <w:style w:type="paragraph" w:styleId="Textineanmlsgreinar">
    <w:name w:val="footnote text"/>
    <w:basedOn w:val="Venjulegur"/>
    <w:link w:val="TextineanmlsgreinarStaf"/>
    <w:uiPriority w:val="99"/>
    <w:semiHidden/>
    <w:unhideWhenUsed/>
    <w:rsid w:val="00F33179"/>
    <w:pPr>
      <w:ind w:left="284" w:hanging="284"/>
    </w:pPr>
    <w:rPr>
      <w:sz w:val="18"/>
      <w:szCs w:val="20"/>
    </w:rPr>
  </w:style>
  <w:style w:type="character" w:customStyle="1" w:styleId="TextineanmlsgreinarStaf">
    <w:name w:val="Texti neðanmálsgreinar Staf"/>
    <w:link w:val="Textineanmlsgreinar"/>
    <w:uiPriority w:val="99"/>
    <w:semiHidden/>
    <w:rsid w:val="00F33179"/>
    <w:rPr>
      <w:rFonts w:ascii="Times New Roman" w:hAnsi="Times New Roman"/>
      <w:sz w:val="18"/>
      <w:lang w:eastAsia="en-US"/>
    </w:rPr>
  </w:style>
  <w:style w:type="character" w:styleId="Tilvsunneanmlsgrein">
    <w:name w:val="footnote reference"/>
    <w:uiPriority w:val="99"/>
    <w:semiHidden/>
    <w:unhideWhenUsed/>
    <w:rsid w:val="00F33179"/>
    <w:rPr>
      <w:vertAlign w:val="superscript"/>
    </w:rPr>
  </w:style>
  <w:style w:type="character" w:styleId="Tengill">
    <w:name w:val="Hyperlink"/>
    <w:basedOn w:val="Sjlfgefinleturgermlsgreinar"/>
    <w:uiPriority w:val="99"/>
    <w:unhideWhenUsed/>
    <w:rsid w:val="00060170"/>
  </w:style>
  <w:style w:type="numbering" w:customStyle="1" w:styleId="Althingi---">
    <w:name w:val="Althingi - - -"/>
    <w:uiPriority w:val="99"/>
    <w:rsid w:val="008D6D45"/>
    <w:pPr>
      <w:numPr>
        <w:numId w:val="8"/>
      </w:numPr>
    </w:pPr>
  </w:style>
  <w:style w:type="numbering" w:customStyle="1" w:styleId="Althingi">
    <w:name w:val="Althingi • • •"/>
    <w:uiPriority w:val="99"/>
    <w:rsid w:val="008D6D45"/>
    <w:pPr>
      <w:numPr>
        <w:numId w:val="9"/>
      </w:numPr>
    </w:pPr>
  </w:style>
  <w:style w:type="numbering" w:customStyle="1" w:styleId="Althingi1-a-1-a">
    <w:name w:val="Althingi 1 - a - 1 -a"/>
    <w:uiPriority w:val="99"/>
    <w:rsid w:val="00402529"/>
    <w:pPr>
      <w:numPr>
        <w:numId w:val="10"/>
      </w:numPr>
    </w:pPr>
  </w:style>
  <w:style w:type="numbering" w:customStyle="1" w:styleId="Althingia-1-a-1">
    <w:name w:val="Althingi a - 1 - a - 1"/>
    <w:uiPriority w:val="99"/>
    <w:rsid w:val="00402529"/>
    <w:pPr>
      <w:numPr>
        <w:numId w:val="11"/>
      </w:numPr>
    </w:pPr>
  </w:style>
  <w:style w:type="numbering" w:customStyle="1" w:styleId="Althingii-1-i-1">
    <w:name w:val="Althingi i - 1 - i - 1"/>
    <w:uiPriority w:val="99"/>
    <w:rsid w:val="00402529"/>
    <w:pPr>
      <w:numPr>
        <w:numId w:val="12"/>
      </w:numPr>
    </w:pPr>
  </w:style>
  <w:style w:type="paragraph" w:customStyle="1" w:styleId="Nmeringsskjalsmls">
    <w:name w:val="Númer þings/skjals/máls"/>
    <w:basedOn w:val="Venjulegur"/>
    <w:next w:val="Venjulegur"/>
    <w:qFormat/>
    <w:rsid w:val="00BC2547"/>
    <w:pPr>
      <w:ind w:firstLine="0"/>
    </w:pPr>
    <w:rPr>
      <w:b/>
    </w:rPr>
  </w:style>
  <w:style w:type="paragraph" w:customStyle="1" w:styleId="Frrherra">
    <w:name w:val="Frá ...ráðherra"/>
    <w:basedOn w:val="Venjulegur"/>
    <w:next w:val="Venjulegur"/>
    <w:qFormat/>
    <w:rsid w:val="000F4615"/>
    <w:pPr>
      <w:ind w:firstLine="0"/>
      <w:jc w:val="center"/>
    </w:pPr>
    <w:rPr>
      <w:rFonts w:eastAsiaTheme="minorHAnsi" w:cstheme="minorBidi"/>
    </w:rPr>
  </w:style>
  <w:style w:type="paragraph" w:styleId="Mlsgreinlista">
    <w:name w:val="List Paragraph"/>
    <w:basedOn w:val="Venjulegur"/>
    <w:uiPriority w:val="34"/>
    <w:unhideWhenUsed/>
    <w:qFormat/>
    <w:rsid w:val="005F7276"/>
    <w:pPr>
      <w:ind w:left="720"/>
      <w:contextualSpacing/>
    </w:pPr>
  </w:style>
  <w:style w:type="paragraph" w:styleId="Blrutexti">
    <w:name w:val="Balloon Text"/>
    <w:basedOn w:val="Venjulegur"/>
    <w:link w:val="BlrutextiStaf"/>
    <w:uiPriority w:val="99"/>
    <w:semiHidden/>
    <w:unhideWhenUsed/>
    <w:rsid w:val="009B2C2B"/>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B2C2B"/>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26355C"/>
    <w:rPr>
      <w:sz w:val="16"/>
      <w:szCs w:val="16"/>
    </w:rPr>
  </w:style>
  <w:style w:type="paragraph" w:styleId="Textiathugasemdar">
    <w:name w:val="annotation text"/>
    <w:basedOn w:val="Venjulegur"/>
    <w:link w:val="TextiathugasemdarStaf"/>
    <w:uiPriority w:val="99"/>
    <w:unhideWhenUsed/>
    <w:rsid w:val="0026355C"/>
    <w:rPr>
      <w:sz w:val="20"/>
      <w:szCs w:val="20"/>
    </w:rPr>
  </w:style>
  <w:style w:type="character" w:customStyle="1" w:styleId="TextiathugasemdarStaf">
    <w:name w:val="Texti athugasemdar Staf"/>
    <w:basedOn w:val="Sjlfgefinleturgermlsgreinar"/>
    <w:link w:val="Textiathugasemdar"/>
    <w:uiPriority w:val="99"/>
    <w:rsid w:val="0026355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6355C"/>
    <w:rPr>
      <w:b/>
      <w:bCs/>
    </w:rPr>
  </w:style>
  <w:style w:type="character" w:customStyle="1" w:styleId="EfniathugasemdarStaf">
    <w:name w:val="Efni athugasemdar Staf"/>
    <w:basedOn w:val="TextiathugasemdarStaf"/>
    <w:link w:val="Efniathugasemdar"/>
    <w:uiPriority w:val="99"/>
    <w:semiHidden/>
    <w:rsid w:val="0026355C"/>
    <w:rPr>
      <w:rFonts w:ascii="Times New Roman" w:hAnsi="Times New Roman"/>
      <w:b/>
      <w:bCs/>
      <w:lang w:val="is-IS"/>
    </w:rPr>
  </w:style>
  <w:style w:type="paragraph" w:styleId="Endurskoun">
    <w:name w:val="Revision"/>
    <w:hidden/>
    <w:uiPriority w:val="99"/>
    <w:semiHidden/>
    <w:rsid w:val="00046946"/>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A42778"/>
    <w:rPr>
      <w:color w:val="605E5C"/>
      <w:shd w:val="clear" w:color="auto" w:fill="E1DFDD"/>
    </w:rPr>
  </w:style>
  <w:style w:type="character" w:styleId="NotaurTengill">
    <w:name w:val="FollowedHyperlink"/>
    <w:basedOn w:val="Sjlfgefinleturgermlsgreinar"/>
    <w:uiPriority w:val="99"/>
    <w:semiHidden/>
    <w:unhideWhenUsed/>
    <w:rsid w:val="00EE0680"/>
    <w:rPr>
      <w:color w:val="954F72" w:themeColor="followedHyperlink"/>
      <w:u w:val="single"/>
    </w:rPr>
  </w:style>
  <w:style w:type="table" w:styleId="Hnitanettflu">
    <w:name w:val="Table Grid"/>
    <w:basedOn w:val="Tafla-venjuleg"/>
    <w:uiPriority w:val="59"/>
    <w:rsid w:val="0036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yrirsgn1Staf">
    <w:name w:val="Fyrirsögn 1 Staf"/>
    <w:basedOn w:val="Sjlfgefinleturgermlsgreinar"/>
    <w:link w:val="Fyrirsgn1"/>
    <w:uiPriority w:val="9"/>
    <w:rsid w:val="00205DAE"/>
    <w:rPr>
      <w:rFonts w:ascii="FiraGO SemiBold" w:eastAsiaTheme="majorEastAsia" w:hAnsi="FiraGO SemiBold" w:cstheme="majorBidi"/>
      <w:bCs/>
      <w:color w:val="44546A" w:themeColor="text2"/>
      <w:sz w:val="48"/>
      <w:szCs w:val="28"/>
      <w:lang w:val="is-IS"/>
    </w:rPr>
  </w:style>
  <w:style w:type="character" w:customStyle="1" w:styleId="Fyrirsgn2Staf">
    <w:name w:val="Fyrirsögn 2 Staf"/>
    <w:basedOn w:val="Sjlfgefinleturgermlsgreinar"/>
    <w:link w:val="Fyrirsgn2"/>
    <w:uiPriority w:val="9"/>
    <w:rsid w:val="00205DAE"/>
    <w:rPr>
      <w:rFonts w:ascii="FiraGO SemiBold" w:eastAsiaTheme="majorEastAsia" w:hAnsi="FiraGO SemiBold" w:cstheme="majorBidi"/>
      <w:bCs/>
      <w:color w:val="44546A" w:themeColor="text2"/>
      <w:sz w:val="28"/>
      <w:szCs w:val="26"/>
      <w:lang w:val="is-IS"/>
    </w:rPr>
  </w:style>
  <w:style w:type="character" w:customStyle="1" w:styleId="Fyrirsgn3Staf">
    <w:name w:val="Fyrirsögn 3 Staf"/>
    <w:basedOn w:val="Sjlfgefinleturgermlsgreinar"/>
    <w:link w:val="Fyrirsgn3"/>
    <w:uiPriority w:val="9"/>
    <w:rsid w:val="00205DAE"/>
    <w:rPr>
      <w:rFonts w:ascii="FiraGO SemiBold" w:eastAsiaTheme="majorEastAsia" w:hAnsi="FiraGO SemiBold" w:cstheme="majorBidi"/>
      <w:bCs/>
      <w:color w:val="44546A" w:themeColor="text2"/>
      <w:sz w:val="19"/>
      <w:szCs w:val="19"/>
      <w:lang w:val="is-IS"/>
    </w:rPr>
  </w:style>
  <w:style w:type="character" w:customStyle="1" w:styleId="Fyrirsgn4Staf">
    <w:name w:val="Fyrirsögn 4 Staf"/>
    <w:basedOn w:val="Sjlfgefinleturgermlsgreinar"/>
    <w:link w:val="Fyrirsgn4"/>
    <w:uiPriority w:val="9"/>
    <w:rsid w:val="00205DAE"/>
    <w:rPr>
      <w:rFonts w:ascii="FiraGO SemiBold" w:eastAsiaTheme="majorEastAsia" w:hAnsi="FiraGO SemiBold" w:cstheme="majorBidi"/>
      <w:bCs/>
      <w:iCs/>
      <w:color w:val="44546A" w:themeColor="text2"/>
      <w:lang w:val="is-IS"/>
    </w:rPr>
  </w:style>
  <w:style w:type="character" w:customStyle="1" w:styleId="Fyrirsgn5Staf">
    <w:name w:val="Fyrirsögn 5 Staf"/>
    <w:basedOn w:val="Sjlfgefinleturgermlsgreinar"/>
    <w:link w:val="Fyrirsgn5"/>
    <w:uiPriority w:val="9"/>
    <w:rsid w:val="00205DAE"/>
    <w:rPr>
      <w:rFonts w:ascii="FiraGO Light" w:eastAsiaTheme="majorEastAsia" w:hAnsi="FiraGO Light" w:cstheme="majorBidi"/>
      <w:b/>
      <w:color w:val="44546A" w:themeColor="text2"/>
      <w:sz w:val="19"/>
      <w:szCs w:val="19"/>
      <w:lang w:val="is-IS"/>
    </w:rPr>
  </w:style>
  <w:style w:type="character" w:customStyle="1" w:styleId="Fyrirsgn6Staf">
    <w:name w:val="Fyrirsögn 6 Staf"/>
    <w:basedOn w:val="Sjlfgefinleturgermlsgreinar"/>
    <w:link w:val="Fyrirsgn6"/>
    <w:uiPriority w:val="1"/>
    <w:semiHidden/>
    <w:rsid w:val="00205DAE"/>
    <w:rPr>
      <w:rFonts w:ascii="FiraGO Light" w:eastAsiaTheme="majorEastAsia" w:hAnsi="FiraGO Light" w:cstheme="majorBidi"/>
      <w:b/>
      <w:iCs/>
      <w:sz w:val="19"/>
      <w:szCs w:val="19"/>
      <w:lang w:val="is-IS"/>
    </w:rPr>
  </w:style>
  <w:style w:type="character" w:customStyle="1" w:styleId="Fyrirsgn7Staf">
    <w:name w:val="Fyrirsögn 7 Staf"/>
    <w:basedOn w:val="Sjlfgefinleturgermlsgreinar"/>
    <w:link w:val="Fyrirsgn7"/>
    <w:uiPriority w:val="1"/>
    <w:semiHidden/>
    <w:rsid w:val="00205DAE"/>
    <w:rPr>
      <w:rFonts w:ascii="FiraGO Light" w:eastAsiaTheme="majorEastAsia" w:hAnsi="FiraGO Light" w:cstheme="majorBidi"/>
      <w:b/>
      <w:iCs/>
      <w:sz w:val="19"/>
      <w:szCs w:val="19"/>
      <w:lang w:val="is-IS"/>
    </w:rPr>
  </w:style>
  <w:style w:type="character" w:customStyle="1" w:styleId="Fyrirsgn8Staf">
    <w:name w:val="Fyrirsögn 8 Staf"/>
    <w:basedOn w:val="Sjlfgefinleturgermlsgreinar"/>
    <w:link w:val="Fyrirsgn8"/>
    <w:uiPriority w:val="1"/>
    <w:semiHidden/>
    <w:rsid w:val="00205DAE"/>
    <w:rPr>
      <w:rFonts w:ascii="FiraGO Light" w:eastAsiaTheme="majorEastAsia" w:hAnsi="FiraGO Light" w:cstheme="majorBidi"/>
      <w:b/>
      <w:sz w:val="19"/>
      <w:lang w:val="is-IS"/>
    </w:rPr>
  </w:style>
  <w:style w:type="character" w:customStyle="1" w:styleId="Fyrirsgn9Staf">
    <w:name w:val="Fyrirsögn 9 Staf"/>
    <w:basedOn w:val="Sjlfgefinleturgermlsgreinar"/>
    <w:link w:val="Fyrirsgn9"/>
    <w:uiPriority w:val="1"/>
    <w:semiHidden/>
    <w:rsid w:val="00205DAE"/>
    <w:rPr>
      <w:rFonts w:ascii="FiraGO Light" w:eastAsiaTheme="majorEastAsia" w:hAnsi="FiraGO Light" w:cstheme="majorBidi"/>
      <w:b/>
      <w:iCs/>
      <w:sz w:val="19"/>
      <w:lang w:val="is-IS"/>
    </w:rPr>
  </w:style>
  <w:style w:type="paragraph" w:styleId="herslumerkturlisti">
    <w:name w:val="List Bullet"/>
    <w:basedOn w:val="Venjulegur"/>
    <w:uiPriority w:val="99"/>
    <w:qFormat/>
    <w:rsid w:val="00205DAE"/>
    <w:pPr>
      <w:numPr>
        <w:numId w:val="22"/>
      </w:numPr>
      <w:spacing w:after="60" w:line="305" w:lineRule="atLeast"/>
      <w:ind w:left="612"/>
      <w:jc w:val="left"/>
    </w:pPr>
    <w:rPr>
      <w:rFonts w:ascii="FiraGO Light" w:eastAsiaTheme="minorHAnsi" w:hAnsi="FiraGO Light" w:cs="Verdana"/>
      <w:sz w:val="19"/>
      <w:szCs w:val="19"/>
    </w:rPr>
  </w:style>
  <w:style w:type="paragraph" w:styleId="Tlusetturlisti">
    <w:name w:val="List Number"/>
    <w:basedOn w:val="Venjulegur"/>
    <w:uiPriority w:val="99"/>
    <w:qFormat/>
    <w:rsid w:val="00205DAE"/>
    <w:pPr>
      <w:numPr>
        <w:numId w:val="23"/>
      </w:numPr>
      <w:spacing w:line="305" w:lineRule="atLeast"/>
      <w:contextualSpacing/>
      <w:jc w:val="left"/>
    </w:pPr>
    <w:rPr>
      <w:rFonts w:ascii="FiraGO Light" w:eastAsiaTheme="minorHAnsi" w:hAnsi="FiraGO Light"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46EE-F2C4-459F-8259-5FAC4E09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5174</Words>
  <Characters>29497</Characters>
  <Application>Microsoft Office Word</Application>
  <DocSecurity>0</DocSecurity>
  <Lines>245</Lines>
  <Paragraphs>69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stjornarskjol@althingi.is</dc:creator>
  <cp:lastModifiedBy>Guðlín Steinsdóttir</cp:lastModifiedBy>
  <cp:revision>3</cp:revision>
  <cp:lastPrinted>2024-10-17T09:55:00Z</cp:lastPrinted>
  <dcterms:created xsi:type="dcterms:W3CDTF">2024-10-17T15:14:00Z</dcterms:created>
  <dcterms:modified xsi:type="dcterms:W3CDTF">2024-10-18T08:33:00Z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2024-05-16T11:12:42Z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74de5e72-f708-4162-8b43-ae7de906b072</vt:lpwstr>
  </property>
  <property fmtid="{D5CDD505-2E9C-101B-9397-08002B2CF9AE}" pid="8" name="MSIP_Label_76b9d89c-b30e-4009-8981-3a5a616d21de_ContentBits">
    <vt:lpwstr>0</vt:lpwstr>
  </property>
</Properties>
</file>