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3FF87A88"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C391209"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2C6F36F" wp14:editId="6575C2B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475C20F"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4A26450"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64EF00A4"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1FDECA2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3A817CE9" w14:textId="77777777" w:rsidR="00135B40" w:rsidRPr="004E0E11" w:rsidRDefault="00135B40" w:rsidP="00851A99">
            <w:pPr>
              <w:spacing w:before="60" w:after="60"/>
              <w:rPr>
                <w:rFonts w:ascii="Times New Roman" w:hAnsi="Times New Roman" w:cs="Times New Roman"/>
                <w:b/>
                <w:lang w:val="is-IS"/>
              </w:rPr>
            </w:pPr>
            <w:permStart w:id="1490183476"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14A1D7C1" w14:textId="105BE5D8"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802223932"/>
                    <w:placeholder>
                      <w:docPart w:val="30219C07E3A94778BA4203972C481C4C"/>
                    </w:placeholder>
                  </w:sdtPr>
                  <w:sdtEndPr/>
                  <w:sdtContent>
                    <w:r w:rsidR="00B748B8">
                      <w:t xml:space="preserve"> </w:t>
                    </w:r>
                    <w:r w:rsidR="00B748B8" w:rsidRPr="00B748B8">
                      <w:rPr>
                        <w:rFonts w:ascii="Times New Roman" w:hAnsi="Times New Roman" w:cs="Times New Roman"/>
                        <w:lang w:val="is-IS"/>
                      </w:rPr>
                      <w:t>Frumvarp til laga um breytingu á raforkulögum, nr. 65/2003 (verkefni Raforkueftirlitsins, EES-reglur).</w:t>
                    </w:r>
                    <w:r w:rsidR="00B748B8">
                      <w:t xml:space="preserve"> </w:t>
                    </w:r>
                    <w:r w:rsidR="00B748B8" w:rsidRPr="00B748B8">
                      <w:rPr>
                        <w:rFonts w:ascii="Times New Roman" w:hAnsi="Times New Roman" w:cs="Times New Roman"/>
                        <w:lang w:val="is-IS"/>
                      </w:rPr>
                      <w:t>URN26010046</w:t>
                    </w:r>
                  </w:sdtContent>
                </w:sdt>
              </w:p>
            </w:tc>
          </w:sdtContent>
        </w:sdt>
      </w:tr>
      <w:tr w:rsidR="00135B40" w:rsidRPr="00BF5ACD" w14:paraId="03C302BB"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0FEE9A1" w14:textId="77777777" w:rsidR="00135B40" w:rsidRPr="004E0E11" w:rsidRDefault="004E0E11" w:rsidP="0012646E">
            <w:pPr>
              <w:spacing w:before="60" w:after="60"/>
              <w:rPr>
                <w:rFonts w:ascii="Times New Roman" w:hAnsi="Times New Roman" w:cs="Times New Roman"/>
                <w:b/>
                <w:lang w:val="is-IS"/>
              </w:rPr>
            </w:pPr>
            <w:permStart w:id="309806871" w:edGrp="everyone" w:colFirst="1" w:colLast="1"/>
            <w:permEnd w:id="1490183476"/>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0E5591B2" w14:textId="0872E30F"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851492594"/>
                    <w:placeholder>
                      <w:docPart w:val="77081CC737C1459AA5DC80336F977CFC"/>
                    </w:placeholder>
                  </w:sdtPr>
                  <w:sdtEndPr/>
                  <w:sdtContent>
                    <w:r w:rsidR="002B139C">
                      <w:rPr>
                        <w:rFonts w:ascii="Times New Roman" w:hAnsi="Times New Roman" w:cs="Times New Roman"/>
                        <w:lang w:val="is-IS"/>
                      </w:rPr>
                      <w:t>Umhverfis-, orku- og loftslagsráðuneytið</w:t>
                    </w:r>
                  </w:sdtContent>
                </w:sdt>
              </w:p>
            </w:tc>
          </w:sdtContent>
        </w:sdt>
      </w:tr>
      <w:tr w:rsidR="00135B40" w:rsidRPr="00BF5ACD" w14:paraId="2A0C549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6B4C61B9" w14:textId="77777777" w:rsidR="00135B40" w:rsidRPr="004E0E11" w:rsidRDefault="005176D0" w:rsidP="0012646E">
            <w:pPr>
              <w:spacing w:before="60" w:after="60"/>
              <w:rPr>
                <w:rFonts w:ascii="Times New Roman" w:hAnsi="Times New Roman" w:cs="Times New Roman"/>
                <w:b/>
                <w:lang w:val="is-IS"/>
              </w:rPr>
            </w:pPr>
            <w:permStart w:id="1169294807" w:edGrp="everyone" w:colFirst="1" w:colLast="1"/>
            <w:permEnd w:id="309806871"/>
            <w:r w:rsidRPr="004E0E11">
              <w:rPr>
                <w:rFonts w:ascii="Times New Roman" w:hAnsi="Times New Roman" w:cs="Times New Roman"/>
                <w:b/>
                <w:lang w:val="is-IS"/>
              </w:rPr>
              <w:t>Stig mats</w:t>
            </w:r>
          </w:p>
        </w:tc>
        <w:tc>
          <w:tcPr>
            <w:tcW w:w="7479" w:type="dxa"/>
            <w:tcBorders>
              <w:bottom w:val="nil"/>
            </w:tcBorders>
          </w:tcPr>
          <w:p w14:paraId="6C4DF356" w14:textId="6B6ACD4E" w:rsidR="00135B40" w:rsidRPr="004E0E11" w:rsidRDefault="005D40C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2B139C">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057D1146" w14:textId="77777777" w:rsidR="00135B40" w:rsidRPr="004E0E11" w:rsidRDefault="005D40C0"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7F0977FC"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3616EEFE" w14:textId="77777777" w:rsidR="00135B40" w:rsidRPr="004E0E11" w:rsidRDefault="00135B40" w:rsidP="000D6E33">
            <w:pPr>
              <w:spacing w:before="60" w:after="60"/>
              <w:rPr>
                <w:rFonts w:ascii="Times New Roman" w:hAnsi="Times New Roman" w:cs="Times New Roman"/>
                <w:b/>
                <w:lang w:val="is-IS"/>
              </w:rPr>
            </w:pPr>
            <w:permStart w:id="281769424" w:edGrp="everyone" w:colFirst="1" w:colLast="1"/>
            <w:permEnd w:id="1169294807"/>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28DB4597" w14:textId="32022D51"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BE1A1F">
                  <w:rPr>
                    <w:rFonts w:ascii="Times New Roman" w:hAnsi="Times New Roman" w:cs="Times New Roman"/>
                    <w:lang w:val="is-IS"/>
                  </w:rPr>
                  <w:t>2</w:t>
                </w:r>
                <w:r w:rsidR="00B748B8">
                  <w:rPr>
                    <w:rFonts w:ascii="Times New Roman" w:hAnsi="Times New Roman" w:cs="Times New Roman"/>
                    <w:lang w:val="is-IS"/>
                  </w:rPr>
                  <w:t>.</w:t>
                </w:r>
                <w:r w:rsidR="00BE1A1F">
                  <w:rPr>
                    <w:rFonts w:ascii="Times New Roman" w:hAnsi="Times New Roman" w:cs="Times New Roman"/>
                    <w:lang w:val="is-IS"/>
                  </w:rPr>
                  <w:t>3</w:t>
                </w:r>
                <w:r w:rsidR="00B748B8">
                  <w:rPr>
                    <w:rFonts w:ascii="Times New Roman" w:hAnsi="Times New Roman" w:cs="Times New Roman"/>
                    <w:lang w:val="is-IS"/>
                  </w:rPr>
                  <w:t>.2026</w:t>
                </w:r>
              </w:p>
            </w:tc>
          </w:sdtContent>
        </w:sdt>
      </w:tr>
      <w:permEnd w:id="281769424"/>
    </w:tbl>
    <w:p w14:paraId="294CFF5A"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5ED2809E" w14:textId="77777777" w:rsidTr="007414CB">
        <w:tc>
          <w:tcPr>
            <w:tcW w:w="9288" w:type="dxa"/>
            <w:shd w:val="clear" w:color="auto" w:fill="92CDDC" w:themeFill="accent5" w:themeFillTint="99"/>
          </w:tcPr>
          <w:p w14:paraId="09ECDC77"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6EB07475"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966612688" w:edGrp="everyone" w:displacedByCustomXml="prev"/>
              <w:p w14:paraId="4C9D20DD" w14:textId="7B53165A"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3D8D85FD" w14:textId="6E0B4075" w:rsidR="002B139C" w:rsidRPr="002B139C" w:rsidRDefault="002B139C" w:rsidP="002B139C">
                <w:pPr>
                  <w:spacing w:before="60" w:after="60"/>
                  <w:rPr>
                    <w:rFonts w:ascii="Times New Roman" w:hAnsi="Times New Roman" w:cs="Times New Roman"/>
                    <w:b/>
                    <w:lang w:val="is-IS"/>
                  </w:rPr>
                </w:pPr>
                <w:r>
                  <w:rPr>
                    <w:rFonts w:ascii="Times New Roman" w:hAnsi="Times New Roman" w:cs="Times New Roman"/>
                    <w:bCs/>
                    <w:lang w:val="is-IS"/>
                  </w:rPr>
                  <w:t>Ekki verður séð að kostnaður hljótist af frumvarpinu fyrir ríkissjóð.</w:t>
                </w:r>
              </w:p>
              <w:p w14:paraId="4302949A"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550BBB60"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3E202D23"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p>
              <w:p w14:paraId="73707AB1"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3D1FD67B"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p>
              <w:p w14:paraId="09740208"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427E9C1C" w14:textId="77777777" w:rsidR="00D96089" w:rsidRPr="00A72ECC"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0E37C8A6"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0D19400E" w14:textId="77777777"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p>
              <w:p w14:paraId="1CBB11F6"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4FACB8AC" w14:textId="77777777"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p>
              <w:p w14:paraId="30358211"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0FCB8904"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0E5412D5"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4A632795"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58F24D6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629147A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7A77CC6D"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60EA793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1E392A7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121FF2C0" w14:textId="77777777"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sdtContent>
          </w:sdt>
          <w:permEnd w:id="1966612688" w:displacedByCustomXml="prev"/>
        </w:tc>
      </w:tr>
      <w:tr w:rsidR="00263F72" w:rsidRPr="00BF5ACD" w14:paraId="351D6A44" w14:textId="77777777" w:rsidTr="007414CB">
        <w:tc>
          <w:tcPr>
            <w:tcW w:w="9288" w:type="dxa"/>
            <w:shd w:val="clear" w:color="auto" w:fill="92CDDC" w:themeFill="accent5" w:themeFillTint="99"/>
          </w:tcPr>
          <w:p w14:paraId="02709C00"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47580A" w14:paraId="1843299F" w14:textId="77777777" w:rsidTr="00FD2097">
        <w:trPr>
          <w:trHeight w:val="826"/>
        </w:trPr>
        <w:tc>
          <w:tcPr>
            <w:tcW w:w="9288" w:type="dxa"/>
          </w:tcPr>
          <w:permStart w:id="832653317" w:edGrp="everyone" w:colFirst="0" w:colLast="0" w:displacedByCustomXml="next"/>
          <w:sdt>
            <w:sdtPr>
              <w:rPr>
                <w:rFonts w:ascii="Times New Roman" w:hAnsi="Times New Roman" w:cs="Times New Roman"/>
                <w:b/>
                <w:lang w:val="is-IS"/>
              </w:rPr>
              <w:id w:val="-197159978"/>
            </w:sdtPr>
            <w:sdtEndPr/>
            <w:sdtContent>
              <w:p w14:paraId="44828A5F"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5F033CEB"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1A44FE7B"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63E378DE" w14:textId="74394473"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14:paraId="5403E244" w14:textId="49E07D68" w:rsidR="002B139C" w:rsidRPr="002B139C" w:rsidRDefault="002B139C" w:rsidP="002B139C">
                <w:pPr>
                  <w:spacing w:before="60" w:after="60"/>
                  <w:rPr>
                    <w:rFonts w:ascii="Times New Roman" w:hAnsi="Times New Roman" w:cs="Times New Roman"/>
                    <w:lang w:val="is-IS"/>
                  </w:rPr>
                </w:pPr>
                <w:r>
                  <w:rPr>
                    <w:rFonts w:ascii="Times New Roman" w:hAnsi="Times New Roman" w:cs="Times New Roman"/>
                    <w:lang w:val="is-IS"/>
                  </w:rPr>
                  <w:t xml:space="preserve">Ekki er talið að </w:t>
                </w:r>
                <w:r w:rsidR="00A72E7C">
                  <w:rPr>
                    <w:rFonts w:ascii="Times New Roman" w:hAnsi="Times New Roman" w:cs="Times New Roman"/>
                    <w:lang w:val="is-IS"/>
                  </w:rPr>
                  <w:t>frumvarpið</w:t>
                </w:r>
                <w:r>
                  <w:rPr>
                    <w:rFonts w:ascii="Times New Roman" w:hAnsi="Times New Roman" w:cs="Times New Roman"/>
                    <w:lang w:val="is-IS"/>
                  </w:rPr>
                  <w:t xml:space="preserve"> hafi fjárhagsáhrif.</w:t>
                </w:r>
              </w:p>
              <w:p w14:paraId="28A0C1BA" w14:textId="77777777" w:rsidR="00FD2097" w:rsidRP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3A34D7AF" w14:textId="77777777"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sdtContent>
          </w:sdt>
        </w:tc>
      </w:tr>
      <w:permEnd w:id="832653317"/>
      <w:tr w:rsidR="00263F72" w:rsidRPr="00BF5ACD" w14:paraId="1D53C71A" w14:textId="77777777" w:rsidTr="007414CB">
        <w:tc>
          <w:tcPr>
            <w:tcW w:w="9288" w:type="dxa"/>
            <w:shd w:val="clear" w:color="auto" w:fill="92CDDC" w:themeFill="accent5" w:themeFillTint="99"/>
          </w:tcPr>
          <w:p w14:paraId="63A07274"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0351DC43" w14:textId="77777777" w:rsidTr="00FD2097">
        <w:trPr>
          <w:trHeight w:val="826"/>
        </w:trPr>
        <w:tc>
          <w:tcPr>
            <w:tcW w:w="9288" w:type="dxa"/>
          </w:tcPr>
          <w:permStart w:id="160325658"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3209E6B2" w14:textId="77777777"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40E4019F"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061F0B21" w14:textId="1E8B6B23" w:rsidR="00FD2097" w:rsidRDefault="001B69DD" w:rsidP="001B69DD">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Sjá leiðarvísinn „Grunnmat á eftirlitsreglum“</w:t>
                </w:r>
              </w:p>
              <w:p w14:paraId="4AFA3215" w14:textId="77777777" w:rsidR="00BE1A1F" w:rsidRDefault="0045096C" w:rsidP="00BE1A1F">
                <w:pPr>
                  <w:spacing w:before="60" w:after="60"/>
                  <w:rPr>
                    <w:rFonts w:ascii="Times New Roman" w:hAnsi="Times New Roman" w:cs="Times New Roman"/>
                    <w:bCs/>
                    <w:lang w:val="is-IS"/>
                  </w:rPr>
                </w:pPr>
                <w:r>
                  <w:t xml:space="preserve"> </w:t>
                </w:r>
                <w:r w:rsidRPr="00BE1A1F">
                  <w:rPr>
                    <w:rFonts w:ascii="Times New Roman" w:hAnsi="Times New Roman" w:cs="Times New Roman"/>
                    <w:bCs/>
                    <w:lang w:val="is-IS"/>
                  </w:rPr>
                  <w:t xml:space="preserve">Með því að styrkja sjálfstæði Raforkueftirlitsins og tryggja faglega og gagnsæja ákvörðunartöku um tekjumörk og gjaldskrár skapast aukinn </w:t>
                </w:r>
                <w:proofErr w:type="spellStart"/>
                <w:r w:rsidRPr="00BE1A1F">
                  <w:rPr>
                    <w:rFonts w:ascii="Times New Roman" w:hAnsi="Times New Roman" w:cs="Times New Roman"/>
                    <w:bCs/>
                    <w:lang w:val="is-IS"/>
                  </w:rPr>
                  <w:t>fyrirsjáanleiki</w:t>
                </w:r>
                <w:proofErr w:type="spellEnd"/>
                <w:r w:rsidRPr="00BE1A1F">
                  <w:rPr>
                    <w:rFonts w:ascii="Times New Roman" w:hAnsi="Times New Roman" w:cs="Times New Roman"/>
                    <w:bCs/>
                    <w:lang w:val="is-IS"/>
                  </w:rPr>
                  <w:t xml:space="preserve"> fyrir raforkufyrirtæki og stórnotendur. Þetta </w:t>
                </w:r>
                <w:r w:rsidRPr="00BE1A1F">
                  <w:rPr>
                    <w:rFonts w:ascii="Times New Roman" w:hAnsi="Times New Roman" w:cs="Times New Roman"/>
                    <w:bCs/>
                    <w:lang w:val="is-IS"/>
                  </w:rPr>
                  <w:t xml:space="preserve">getur </w:t>
                </w:r>
                <w:r w:rsidRPr="00BE1A1F">
                  <w:rPr>
                    <w:rFonts w:ascii="Times New Roman" w:hAnsi="Times New Roman" w:cs="Times New Roman"/>
                    <w:bCs/>
                    <w:lang w:val="is-IS"/>
                  </w:rPr>
                  <w:t>stuðla</w:t>
                </w:r>
                <w:r w:rsidRPr="00BE1A1F">
                  <w:rPr>
                    <w:rFonts w:ascii="Times New Roman" w:hAnsi="Times New Roman" w:cs="Times New Roman"/>
                    <w:bCs/>
                    <w:lang w:val="is-IS"/>
                  </w:rPr>
                  <w:t>ð</w:t>
                </w:r>
                <w:r w:rsidRPr="00BE1A1F">
                  <w:rPr>
                    <w:rFonts w:ascii="Times New Roman" w:hAnsi="Times New Roman" w:cs="Times New Roman"/>
                    <w:bCs/>
                    <w:lang w:val="is-IS"/>
                  </w:rPr>
                  <w:t xml:space="preserve"> að betri forsendum fyrir langtímafjárfestingar í raforkukerfinu og </w:t>
                </w:r>
                <w:r w:rsidRPr="00BE1A1F">
                  <w:rPr>
                    <w:rFonts w:ascii="Times New Roman" w:hAnsi="Times New Roman" w:cs="Times New Roman"/>
                    <w:bCs/>
                    <w:lang w:val="is-IS"/>
                  </w:rPr>
                  <w:t>aukið</w:t>
                </w:r>
                <w:r w:rsidRPr="00BE1A1F">
                  <w:rPr>
                    <w:rFonts w:ascii="Times New Roman" w:hAnsi="Times New Roman" w:cs="Times New Roman"/>
                    <w:bCs/>
                    <w:lang w:val="is-IS"/>
                  </w:rPr>
                  <w:t xml:space="preserve"> samkeppnishæfni </w:t>
                </w:r>
                <w:proofErr w:type="spellStart"/>
                <w:r w:rsidRPr="00BE1A1F">
                  <w:rPr>
                    <w:rFonts w:ascii="Times New Roman" w:hAnsi="Times New Roman" w:cs="Times New Roman"/>
                    <w:bCs/>
                    <w:lang w:val="is-IS"/>
                  </w:rPr>
                  <w:t>orkusækins</w:t>
                </w:r>
                <w:proofErr w:type="spellEnd"/>
                <w:r w:rsidRPr="00BE1A1F">
                  <w:rPr>
                    <w:rFonts w:ascii="Times New Roman" w:hAnsi="Times New Roman" w:cs="Times New Roman"/>
                    <w:bCs/>
                    <w:lang w:val="is-IS"/>
                  </w:rPr>
                  <w:t xml:space="preserve"> iðnaðar</w:t>
                </w:r>
                <w:r w:rsidRPr="00BE1A1F">
                  <w:rPr>
                    <w:rFonts w:ascii="Times New Roman" w:hAnsi="Times New Roman" w:cs="Times New Roman"/>
                    <w:bCs/>
                    <w:lang w:val="is-IS"/>
                  </w:rPr>
                  <w:t>.</w:t>
                </w:r>
              </w:p>
              <w:p w14:paraId="6D5F12F9" w14:textId="77777777" w:rsidR="00BE1A1F" w:rsidRPr="00BE1A1F" w:rsidRDefault="00BE1A1F" w:rsidP="00BE1A1F">
                <w:pPr>
                  <w:spacing w:before="60" w:after="60"/>
                  <w:rPr>
                    <w:rFonts w:ascii="Times New Roman" w:hAnsi="Times New Roman" w:cs="Times New Roman"/>
                    <w:b/>
                    <w:lang w:val="is-IS"/>
                  </w:rPr>
                </w:pPr>
              </w:p>
              <w:p w14:paraId="6FFAA6B6" w14:textId="6B738D22" w:rsidR="00A410EA"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34B04E34" w14:textId="33B25F0B" w:rsidR="0045096C" w:rsidRPr="00D36304" w:rsidRDefault="0045096C" w:rsidP="0045096C">
                <w:pPr>
                  <w:spacing w:before="60" w:after="60"/>
                  <w:rPr>
                    <w:rFonts w:ascii="Times New Roman" w:hAnsi="Times New Roman" w:cs="Times New Roman"/>
                    <w:bCs/>
                    <w:lang w:val="is-IS"/>
                  </w:rPr>
                </w:pPr>
                <w:proofErr w:type="spellStart"/>
                <w:r w:rsidRPr="00D36304">
                  <w:rPr>
                    <w:rFonts w:ascii="Times New Roman" w:hAnsi="Times New Roman" w:cs="Times New Roman"/>
                    <w:bCs/>
                  </w:rPr>
                  <w:t>Með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því</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að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tryggja</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að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Raforkueftirlitið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hafi</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einkaheimild</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til</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að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ákvarða</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gjaldskrár</w:t>
                </w:r>
                <w:proofErr w:type="spellEnd"/>
                <w:r w:rsidRPr="00D36304">
                  <w:rPr>
                    <w:rFonts w:ascii="Times New Roman" w:hAnsi="Times New Roman" w:cs="Times New Roman"/>
                    <w:bCs/>
                  </w:rPr>
                  <w:t xml:space="preserve"> og </w:t>
                </w:r>
                <w:proofErr w:type="spellStart"/>
                <w:r w:rsidRPr="00D36304">
                  <w:rPr>
                    <w:rFonts w:ascii="Times New Roman" w:hAnsi="Times New Roman" w:cs="Times New Roman"/>
                    <w:bCs/>
                  </w:rPr>
                  <w:t>tekjumörk</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án</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bindandi</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lagaákvæða</w:t>
                </w:r>
                <w:proofErr w:type="spellEnd"/>
                <w:r w:rsidRPr="00D36304">
                  <w:rPr>
                    <w:rFonts w:ascii="Times New Roman" w:hAnsi="Times New Roman" w:cs="Times New Roman"/>
                    <w:bCs/>
                  </w:rPr>
                  <w:t xml:space="preserve"> um </w:t>
                </w:r>
                <w:proofErr w:type="spellStart"/>
                <w:r w:rsidRPr="00D36304">
                  <w:rPr>
                    <w:rFonts w:ascii="Times New Roman" w:hAnsi="Times New Roman" w:cs="Times New Roman"/>
                    <w:bCs/>
                  </w:rPr>
                  <w:t>tæknilegar</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forsendur</w:t>
                </w:r>
                <w:proofErr w:type="spellEnd"/>
                <w:r w:rsidRPr="00D36304">
                  <w:rPr>
                    <w:rFonts w:ascii="Times New Roman" w:hAnsi="Times New Roman" w:cs="Times New Roman"/>
                    <w:bCs/>
                  </w:rPr>
                  <w:t xml:space="preserve">, er </w:t>
                </w:r>
                <w:proofErr w:type="spellStart"/>
                <w:r w:rsidRPr="00D36304">
                  <w:rPr>
                    <w:rFonts w:ascii="Times New Roman" w:hAnsi="Times New Roman" w:cs="Times New Roman"/>
                    <w:bCs/>
                  </w:rPr>
                  <w:t>dregið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úr</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hættu</w:t>
                </w:r>
                <w:proofErr w:type="spellEnd"/>
                <w:r w:rsidRPr="00D36304">
                  <w:rPr>
                    <w:rFonts w:ascii="Times New Roman" w:hAnsi="Times New Roman" w:cs="Times New Roman"/>
                    <w:bCs/>
                  </w:rPr>
                  <w:t xml:space="preserve"> á </w:t>
                </w:r>
                <w:proofErr w:type="spellStart"/>
                <w:r w:rsidRPr="00D36304">
                  <w:rPr>
                    <w:rFonts w:ascii="Times New Roman" w:hAnsi="Times New Roman" w:cs="Times New Roman"/>
                    <w:bCs/>
                  </w:rPr>
                  <w:t>mismunun</w:t>
                </w:r>
                <w:proofErr w:type="spellEnd"/>
                <w:r w:rsidRPr="00D36304">
                  <w:rPr>
                    <w:rFonts w:ascii="Times New Roman" w:hAnsi="Times New Roman" w:cs="Times New Roman"/>
                    <w:bCs/>
                  </w:rPr>
                  <w:t xml:space="preserve"> og </w:t>
                </w:r>
                <w:proofErr w:type="spellStart"/>
                <w:r w:rsidRPr="00D36304">
                  <w:rPr>
                    <w:rFonts w:ascii="Times New Roman" w:hAnsi="Times New Roman" w:cs="Times New Roman"/>
                    <w:bCs/>
                  </w:rPr>
                  <w:t>tryggt</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að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gjaldskrár</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endurspegli</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raunverulegan</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kostnað</w:t>
                </w:r>
                <w:proofErr w:type="spellEnd"/>
                <w:r w:rsidRPr="00D36304">
                  <w:rPr>
                    <w:rFonts w:ascii="Times New Roman" w:hAnsi="Times New Roman" w:cs="Times New Roman"/>
                    <w:bCs/>
                  </w:rPr>
                  <w:t>.</w:t>
                </w:r>
                <w:r w:rsidRPr="00D36304">
                  <w:rPr>
                    <w:rFonts w:ascii="Times New Roman" w:hAnsi="Times New Roman" w:cs="Times New Roman"/>
                    <w:bCs/>
                  </w:rPr>
                  <w:t xml:space="preserve"> </w:t>
                </w:r>
                <w:proofErr w:type="spellStart"/>
                <w:r w:rsidRPr="00D36304">
                  <w:rPr>
                    <w:rFonts w:ascii="Times New Roman" w:hAnsi="Times New Roman" w:cs="Times New Roman"/>
                    <w:bCs/>
                  </w:rPr>
                  <w:t>Þannig</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hefur</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frumvarpið</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jákvæ</w:t>
                </w:r>
                <w:proofErr w:type="spellEnd"/>
                <w:r w:rsidRPr="00D36304">
                  <w:rPr>
                    <w:rFonts w:ascii="Times New Roman" w:hAnsi="Times New Roman" w:cs="Times New Roman"/>
                    <w:bCs/>
                  </w:rPr>
                  <w:t xml:space="preserve"> </w:t>
                </w:r>
                <w:proofErr w:type="spellStart"/>
                <w:r w:rsidRPr="00D36304">
                  <w:rPr>
                    <w:rFonts w:ascii="Times New Roman" w:hAnsi="Times New Roman" w:cs="Times New Roman"/>
                    <w:bCs/>
                  </w:rPr>
                  <w:t>áhrif</w:t>
                </w:r>
                <w:proofErr w:type="spellEnd"/>
                <w:r w:rsidRPr="00D36304">
                  <w:rPr>
                    <w:rFonts w:ascii="Times New Roman" w:hAnsi="Times New Roman" w:cs="Times New Roman"/>
                    <w:bCs/>
                  </w:rPr>
                  <w:t xml:space="preserve"> á </w:t>
                </w:r>
                <w:proofErr w:type="spellStart"/>
                <w:r w:rsidRPr="00D36304">
                  <w:rPr>
                    <w:rFonts w:ascii="Times New Roman" w:hAnsi="Times New Roman" w:cs="Times New Roman"/>
                    <w:bCs/>
                  </w:rPr>
                  <w:t>samkeppni</w:t>
                </w:r>
                <w:proofErr w:type="spellEnd"/>
                <w:r w:rsidRPr="00D36304">
                  <w:rPr>
                    <w:rFonts w:ascii="Times New Roman" w:hAnsi="Times New Roman" w:cs="Times New Roman"/>
                    <w:bCs/>
                  </w:rPr>
                  <w:t xml:space="preserve"> á </w:t>
                </w:r>
                <w:proofErr w:type="spellStart"/>
                <w:r w:rsidRPr="00D36304">
                  <w:rPr>
                    <w:rFonts w:ascii="Times New Roman" w:hAnsi="Times New Roman" w:cs="Times New Roman"/>
                    <w:bCs/>
                  </w:rPr>
                  <w:t>raforkumarkaði</w:t>
                </w:r>
                <w:proofErr w:type="spellEnd"/>
                <w:r>
                  <w:rPr>
                    <w:rFonts w:ascii="Times New Roman" w:hAnsi="Times New Roman" w:cs="Times New Roman"/>
                    <w:bCs/>
                  </w:rPr>
                  <w:t>.</w:t>
                </w:r>
              </w:p>
              <w:p w14:paraId="7DDA7705" w14:textId="2CE2686A" w:rsidR="00A410EA"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17CA5617"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04CC7D9C" w14:textId="77777777" w:rsidR="002B139C" w:rsidRPr="002B139C" w:rsidRDefault="002B139C" w:rsidP="002B139C">
                <w:pPr>
                  <w:spacing w:before="60" w:after="60"/>
                  <w:rPr>
                    <w:rFonts w:ascii="Times New Roman" w:hAnsi="Times New Roman" w:cs="Times New Roman"/>
                    <w:lang w:val="is-IS"/>
                  </w:rPr>
                </w:pPr>
              </w:p>
              <w:p w14:paraId="4114F207" w14:textId="68D651FB" w:rsidR="00301FF8"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5F739476"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0113FE8D" w14:textId="77777777" w:rsidR="002B139C" w:rsidRPr="002B139C" w:rsidRDefault="002B139C" w:rsidP="002B139C">
                <w:pPr>
                  <w:spacing w:before="60" w:after="60"/>
                  <w:rPr>
                    <w:rFonts w:ascii="Times New Roman" w:hAnsi="Times New Roman" w:cs="Times New Roman"/>
                    <w:lang w:val="is-IS"/>
                  </w:rPr>
                </w:pPr>
              </w:p>
              <w:p w14:paraId="5B95D015" w14:textId="5B72E809"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15BA0707"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623C8DC4" w14:textId="77777777" w:rsidR="002B139C" w:rsidRPr="002B139C" w:rsidRDefault="002B139C" w:rsidP="002B139C">
                <w:pPr>
                  <w:spacing w:before="60" w:after="60"/>
                  <w:rPr>
                    <w:rFonts w:ascii="Times New Roman" w:hAnsi="Times New Roman" w:cs="Times New Roman"/>
                    <w:lang w:val="is-IS"/>
                  </w:rPr>
                </w:pPr>
              </w:p>
              <w:p w14:paraId="09045998" w14:textId="77777777" w:rsidR="002B139C"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1E7D215B"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1D5C91CB" w14:textId="62559A11" w:rsidR="00CA3381" w:rsidRPr="002B139C" w:rsidRDefault="005D40C0" w:rsidP="002B139C">
                <w:pPr>
                  <w:spacing w:before="60" w:after="60"/>
                  <w:rPr>
                    <w:rFonts w:ascii="Times New Roman" w:hAnsi="Times New Roman" w:cs="Times New Roman"/>
                    <w:lang w:val="is-IS"/>
                  </w:rPr>
                </w:pPr>
              </w:p>
            </w:sdtContent>
          </w:sdt>
        </w:tc>
      </w:tr>
      <w:permEnd w:id="160325658"/>
      <w:tr w:rsidR="000D6E33" w:rsidRPr="00BF5ACD" w14:paraId="7F377F3A" w14:textId="77777777" w:rsidTr="007414CB">
        <w:tc>
          <w:tcPr>
            <w:tcW w:w="9288" w:type="dxa"/>
            <w:shd w:val="clear" w:color="auto" w:fill="92CDDC" w:themeFill="accent5" w:themeFillTint="99"/>
          </w:tcPr>
          <w:p w14:paraId="767B9CB3"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7AEF30D8"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725639965" w:edGrp="everyone" w:displacedByCustomXml="prev"/>
              <w:p w14:paraId="0F18E31D"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48CD7992" w14:textId="449CAE3D"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14:paraId="6000DECD"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49D542FC" w14:textId="77777777" w:rsidR="002B139C" w:rsidRPr="002B139C" w:rsidRDefault="002B139C" w:rsidP="002B139C">
                <w:pPr>
                  <w:spacing w:before="60" w:after="60"/>
                  <w:rPr>
                    <w:rFonts w:ascii="Times New Roman" w:hAnsi="Times New Roman" w:cs="Times New Roman"/>
                    <w:lang w:val="is-IS"/>
                  </w:rPr>
                </w:pPr>
              </w:p>
              <w:p w14:paraId="0DBDAC0F"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0BED2749" w14:textId="2A906F46" w:rsidR="002B139C" w:rsidRDefault="00CE06FC" w:rsidP="002B139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2286EC1F"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5BB7B2A5" w14:textId="77777777" w:rsidR="002B139C" w:rsidRPr="002B139C" w:rsidRDefault="002B139C" w:rsidP="002B139C">
                <w:pPr>
                  <w:spacing w:before="60" w:after="60"/>
                  <w:rPr>
                    <w:rFonts w:ascii="Times New Roman" w:hAnsi="Times New Roman" w:cs="Times New Roman"/>
                    <w:lang w:val="is-IS"/>
                  </w:rPr>
                </w:pPr>
              </w:p>
              <w:p w14:paraId="5074A91C"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01E850D4" w14:textId="05E05CCA" w:rsidR="002B139C" w:rsidRDefault="00CE06FC" w:rsidP="002B139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316FA401"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0B54726D" w14:textId="77777777" w:rsidR="002B139C" w:rsidRPr="002B139C" w:rsidRDefault="002B139C" w:rsidP="002B139C">
                <w:pPr>
                  <w:spacing w:before="60" w:after="60"/>
                  <w:rPr>
                    <w:rFonts w:ascii="Times New Roman" w:hAnsi="Times New Roman" w:cs="Times New Roman"/>
                    <w:lang w:val="is-IS"/>
                  </w:rPr>
                </w:pPr>
              </w:p>
              <w:p w14:paraId="5C898492" w14:textId="7F797CFE"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52AB9538" w14:textId="25D30D31" w:rsidR="002B139C" w:rsidRPr="009F1B84" w:rsidRDefault="0045096C" w:rsidP="002B139C">
                <w:pPr>
                  <w:spacing w:before="60" w:after="60"/>
                  <w:rPr>
                    <w:rFonts w:ascii="Times New Roman" w:hAnsi="Times New Roman" w:cs="Times New Roman"/>
                    <w:lang w:val="is-IS"/>
                  </w:rPr>
                </w:pPr>
                <w:proofErr w:type="spellStart"/>
                <w:r w:rsidRPr="0045096C">
                  <w:rPr>
                    <w:rFonts w:ascii="Times New Roman" w:hAnsi="Times New Roman" w:cs="Times New Roman"/>
                  </w:rPr>
                  <w:t>Samtök</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sveitarfélaga</w:t>
                </w:r>
                <w:proofErr w:type="spellEnd"/>
                <w:r w:rsidRPr="0045096C">
                  <w:rPr>
                    <w:rFonts w:ascii="Times New Roman" w:hAnsi="Times New Roman" w:cs="Times New Roman"/>
                  </w:rPr>
                  <w:t xml:space="preserve"> á </w:t>
                </w:r>
                <w:proofErr w:type="spellStart"/>
                <w:r w:rsidRPr="0045096C">
                  <w:rPr>
                    <w:rFonts w:ascii="Times New Roman" w:hAnsi="Times New Roman" w:cs="Times New Roman"/>
                  </w:rPr>
                  <w:t>köldum</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svæðum</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lýstu</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stuðningi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við</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frumvarpið</w:t>
                </w:r>
                <w:proofErr w:type="spellEnd"/>
                <w:r w:rsidRPr="0045096C">
                  <w:rPr>
                    <w:rFonts w:ascii="Times New Roman" w:hAnsi="Times New Roman" w:cs="Times New Roman"/>
                  </w:rPr>
                  <w:t xml:space="preserve"> í </w:t>
                </w:r>
                <w:proofErr w:type="spellStart"/>
                <w:r w:rsidRPr="0045096C">
                  <w:rPr>
                    <w:rFonts w:ascii="Times New Roman" w:hAnsi="Times New Roman" w:cs="Times New Roman"/>
                  </w:rPr>
                  <w:t>umsögn</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sinni</w:t>
                </w:r>
                <w:proofErr w:type="spellEnd"/>
                <w:r w:rsidR="00A72E7C">
                  <w:rPr>
                    <w:rFonts w:ascii="Times New Roman" w:hAnsi="Times New Roman" w:cs="Times New Roman"/>
                  </w:rPr>
                  <w:t xml:space="preserve"> um </w:t>
                </w:r>
                <w:proofErr w:type="spellStart"/>
                <w:r w:rsidR="00A72E7C">
                  <w:rPr>
                    <w:rFonts w:ascii="Times New Roman" w:hAnsi="Times New Roman" w:cs="Times New Roman"/>
                  </w:rPr>
                  <w:t>áform</w:t>
                </w:r>
                <w:proofErr w:type="spellEnd"/>
                <w:r w:rsidR="00A72E7C">
                  <w:rPr>
                    <w:rFonts w:ascii="Times New Roman" w:hAnsi="Times New Roman" w:cs="Times New Roman"/>
                  </w:rPr>
                  <w:t xml:space="preserve"> </w:t>
                </w:r>
                <w:proofErr w:type="spellStart"/>
                <w:r w:rsidR="00A72E7C">
                  <w:rPr>
                    <w:rFonts w:ascii="Times New Roman" w:hAnsi="Times New Roman" w:cs="Times New Roman"/>
                  </w:rPr>
                  <w:t>lagasetningar</w:t>
                </w:r>
                <w:proofErr w:type="spellEnd"/>
                <w:r w:rsidRPr="0045096C">
                  <w:rPr>
                    <w:rFonts w:ascii="Times New Roman" w:hAnsi="Times New Roman" w:cs="Times New Roman"/>
                  </w:rPr>
                  <w:t xml:space="preserve"> og </w:t>
                </w:r>
                <w:proofErr w:type="spellStart"/>
                <w:r w:rsidRPr="0045096C">
                  <w:rPr>
                    <w:rFonts w:ascii="Times New Roman" w:hAnsi="Times New Roman" w:cs="Times New Roman"/>
                  </w:rPr>
                  <w:t>bentu</w:t>
                </w:r>
                <w:proofErr w:type="spellEnd"/>
                <w:r w:rsidRPr="0045096C">
                  <w:rPr>
                    <w:rFonts w:ascii="Times New Roman" w:hAnsi="Times New Roman" w:cs="Times New Roman"/>
                  </w:rPr>
                  <w:t xml:space="preserve"> á </w:t>
                </w:r>
                <w:proofErr w:type="spellStart"/>
                <w:r w:rsidRPr="0045096C">
                  <w:rPr>
                    <w:rFonts w:ascii="Times New Roman" w:hAnsi="Times New Roman" w:cs="Times New Roman"/>
                  </w:rPr>
                  <w:t>mikilvægi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þess</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að</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Raforkueftirlitið</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hafi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aukna</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eftirlitsgetu</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varðandi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tekjumörk</w:t>
                </w:r>
                <w:proofErr w:type="spellEnd"/>
                <w:r w:rsidRPr="0045096C">
                  <w:rPr>
                    <w:rFonts w:ascii="Times New Roman" w:hAnsi="Times New Roman" w:cs="Times New Roman"/>
                  </w:rPr>
                  <w:t xml:space="preserve"> og </w:t>
                </w:r>
                <w:proofErr w:type="spellStart"/>
                <w:r w:rsidRPr="0045096C">
                  <w:rPr>
                    <w:rFonts w:ascii="Times New Roman" w:hAnsi="Times New Roman" w:cs="Times New Roman"/>
                  </w:rPr>
                  <w:t>gjaldskrár</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Aukið</w:t>
                </w:r>
                <w:proofErr w:type="spellEnd"/>
                <w:r w:rsidRPr="0045096C">
                  <w:rPr>
                    <w:rFonts w:ascii="Times New Roman" w:hAnsi="Times New Roman" w:cs="Times New Roman"/>
                  </w:rPr>
                  <w:t xml:space="preserve"> og </w:t>
                </w:r>
                <w:proofErr w:type="spellStart"/>
                <w:r w:rsidRPr="0045096C">
                  <w:rPr>
                    <w:rFonts w:ascii="Times New Roman" w:hAnsi="Times New Roman" w:cs="Times New Roman"/>
                  </w:rPr>
                  <w:t>faglegt</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eftirlit</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getur</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stuðlað</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að</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sanngjarnari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gjaldskrám</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fyrir</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notendur</w:t>
                </w:r>
                <w:proofErr w:type="spellEnd"/>
                <w:r w:rsidRPr="0045096C">
                  <w:rPr>
                    <w:rFonts w:ascii="Times New Roman" w:hAnsi="Times New Roman" w:cs="Times New Roman"/>
                  </w:rPr>
                  <w:t xml:space="preserve"> á </w:t>
                </w:r>
                <w:proofErr w:type="spellStart"/>
                <w:r w:rsidRPr="0045096C">
                  <w:rPr>
                    <w:rFonts w:ascii="Times New Roman" w:hAnsi="Times New Roman" w:cs="Times New Roman"/>
                  </w:rPr>
                  <w:t>landsbyggðinni</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þar</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sem</w:t>
                </w:r>
                <w:proofErr w:type="spellEnd"/>
                <w:r w:rsidRPr="0045096C">
                  <w:rPr>
                    <w:rFonts w:ascii="Times New Roman" w:hAnsi="Times New Roman" w:cs="Times New Roman"/>
                  </w:rPr>
                  <w:t xml:space="preserve"> </w:t>
                </w:r>
                <w:proofErr w:type="spellStart"/>
                <w:r w:rsidRPr="0045096C">
                  <w:rPr>
                    <w:rFonts w:ascii="Times New Roman" w:hAnsi="Times New Roman" w:cs="Times New Roman"/>
                  </w:rPr>
                  <w:t>dreifikostnaður</w:t>
                </w:r>
                <w:proofErr w:type="spellEnd"/>
                <w:r w:rsidRPr="0045096C">
                  <w:rPr>
                    <w:rFonts w:ascii="Times New Roman" w:hAnsi="Times New Roman" w:cs="Times New Roman"/>
                  </w:rPr>
                  <w:t xml:space="preserve"> er oft </w:t>
                </w:r>
                <w:proofErr w:type="spellStart"/>
                <w:r w:rsidRPr="0045096C">
                  <w:rPr>
                    <w:rFonts w:ascii="Times New Roman" w:hAnsi="Times New Roman" w:cs="Times New Roman"/>
                  </w:rPr>
                  <w:t>hærri</w:t>
                </w:r>
                <w:proofErr w:type="spellEnd"/>
                <w:r w:rsidRPr="0045096C">
                  <w:rPr>
                    <w:rFonts w:ascii="Times New Roman" w:hAnsi="Times New Roman" w:cs="Times New Roman"/>
                  </w:rPr>
                  <w:t>.</w:t>
                </w:r>
              </w:p>
              <w:p w14:paraId="72BD1594" w14:textId="77777777" w:rsidR="002B139C" w:rsidRPr="002B139C" w:rsidRDefault="002B139C" w:rsidP="002B139C">
                <w:pPr>
                  <w:spacing w:before="60" w:after="60"/>
                  <w:rPr>
                    <w:rFonts w:ascii="Times New Roman" w:hAnsi="Times New Roman" w:cs="Times New Roman"/>
                    <w:b/>
                    <w:lang w:val="is-IS"/>
                  </w:rPr>
                </w:pPr>
              </w:p>
              <w:p w14:paraId="22AFB014" w14:textId="19FD7F78"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33AEC3DF"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2D0FD18C" w14:textId="77777777" w:rsidR="002B139C" w:rsidRPr="002B139C" w:rsidRDefault="002B139C" w:rsidP="002B139C">
                <w:pPr>
                  <w:spacing w:before="60" w:after="60"/>
                  <w:rPr>
                    <w:rFonts w:ascii="Times New Roman" w:hAnsi="Times New Roman" w:cs="Times New Roman"/>
                    <w:b/>
                    <w:lang w:val="is-IS"/>
                  </w:rPr>
                </w:pPr>
              </w:p>
              <w:p w14:paraId="4902BD57"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092696CA" w14:textId="55074DE4" w:rsidR="00AC19E3" w:rsidRDefault="00886857" w:rsidP="003C66CA">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p>
              <w:p w14:paraId="44321878"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1444047D" w14:textId="77777777" w:rsidR="002B139C" w:rsidRPr="002B139C" w:rsidRDefault="002B139C" w:rsidP="002B139C">
                <w:pPr>
                  <w:spacing w:before="60" w:after="60"/>
                  <w:rPr>
                    <w:rFonts w:ascii="Times New Roman" w:hAnsi="Times New Roman" w:cs="Times New Roman"/>
                    <w:lang w:val="is-IS"/>
                  </w:rPr>
                </w:pPr>
              </w:p>
              <w:p w14:paraId="2873713E" w14:textId="4162E578"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3289E23E"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0A0A0E87" w14:textId="77777777" w:rsidR="002B139C" w:rsidRPr="002B139C" w:rsidRDefault="002B139C" w:rsidP="002B139C">
                <w:pPr>
                  <w:spacing w:before="60" w:after="60"/>
                  <w:rPr>
                    <w:rFonts w:ascii="Times New Roman" w:hAnsi="Times New Roman" w:cs="Times New Roman"/>
                    <w:b/>
                    <w:lang w:val="is-IS"/>
                  </w:rPr>
                </w:pPr>
              </w:p>
              <w:p w14:paraId="6FCC114A" w14:textId="6EEB28FD"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2595870E"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4E906081" w14:textId="77777777" w:rsidR="002B139C" w:rsidRPr="002B139C" w:rsidRDefault="002B139C" w:rsidP="002B139C">
                <w:pPr>
                  <w:spacing w:before="60" w:after="60"/>
                  <w:rPr>
                    <w:rFonts w:ascii="Times New Roman" w:hAnsi="Times New Roman" w:cs="Times New Roman"/>
                    <w:b/>
                    <w:lang w:val="is-IS"/>
                  </w:rPr>
                </w:pPr>
              </w:p>
              <w:p w14:paraId="02C045D0" w14:textId="186E6E0C"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15716576" w14:textId="77777777" w:rsidR="002B139C" w:rsidRPr="009F1B84" w:rsidRDefault="002B139C" w:rsidP="002B139C">
                <w:pPr>
                  <w:spacing w:before="60" w:after="60"/>
                  <w:rPr>
                    <w:rFonts w:ascii="Times New Roman" w:hAnsi="Times New Roman" w:cs="Times New Roman"/>
                    <w:lang w:val="is-IS"/>
                  </w:rPr>
                </w:pPr>
                <w:r>
                  <w:rPr>
                    <w:rFonts w:ascii="Times New Roman" w:hAnsi="Times New Roman" w:cs="Times New Roman"/>
                    <w:lang w:val="is-IS"/>
                  </w:rPr>
                  <w:t>Nei.</w:t>
                </w:r>
              </w:p>
              <w:p w14:paraId="5F807FF3" w14:textId="77777777" w:rsidR="002B139C" w:rsidRPr="002B139C" w:rsidRDefault="002B139C" w:rsidP="002B139C">
                <w:pPr>
                  <w:spacing w:before="60" w:after="60"/>
                  <w:rPr>
                    <w:rFonts w:ascii="Times New Roman" w:hAnsi="Times New Roman" w:cs="Times New Roman"/>
                    <w:b/>
                    <w:lang w:val="is-IS"/>
                  </w:rPr>
                </w:pPr>
              </w:p>
              <w:p w14:paraId="2542EED7" w14:textId="4352F733"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60E234DE" w14:textId="693908D2" w:rsidR="002B139C" w:rsidRPr="002B139C" w:rsidRDefault="002B139C" w:rsidP="002B139C">
                <w:pPr>
                  <w:spacing w:before="60" w:after="60"/>
                  <w:rPr>
                    <w:rFonts w:ascii="Times New Roman" w:hAnsi="Times New Roman" w:cs="Times New Roman"/>
                    <w:bCs/>
                    <w:lang w:val="is-IS"/>
                  </w:rPr>
                </w:pPr>
                <w:r>
                  <w:rPr>
                    <w:rFonts w:ascii="Times New Roman" w:hAnsi="Times New Roman" w:cs="Times New Roman"/>
                    <w:bCs/>
                    <w:lang w:val="is-IS"/>
                  </w:rPr>
                  <w:t>Raforkueftirlit</w:t>
                </w:r>
                <w:r w:rsidR="00B748B8">
                  <w:rPr>
                    <w:rFonts w:ascii="Times New Roman" w:hAnsi="Times New Roman" w:cs="Times New Roman"/>
                    <w:bCs/>
                    <w:lang w:val="is-IS"/>
                  </w:rPr>
                  <w:t>ið</w:t>
                </w:r>
                <w:r w:rsidR="0013216A">
                  <w:rPr>
                    <w:rFonts w:ascii="Times New Roman" w:hAnsi="Times New Roman" w:cs="Times New Roman"/>
                    <w:bCs/>
                    <w:lang w:val="is-IS"/>
                  </w:rPr>
                  <w:t xml:space="preserve"> </w:t>
                </w:r>
                <w:r>
                  <w:rPr>
                    <w:rFonts w:ascii="Times New Roman" w:hAnsi="Times New Roman" w:cs="Times New Roman"/>
                    <w:bCs/>
                    <w:lang w:val="is-IS"/>
                  </w:rPr>
                  <w:t>er í stakk búið til að sinna þeim verkefnum sem fjallað verður um í frumvarpinu.</w:t>
                </w:r>
              </w:p>
              <w:p w14:paraId="13D18361" w14:textId="260ACF64"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lastRenderedPageBreak/>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07C3092C" w14:textId="7116A6F8" w:rsidR="002B139C" w:rsidRPr="002B139C" w:rsidRDefault="002B139C" w:rsidP="002B139C">
                <w:pPr>
                  <w:spacing w:before="60" w:after="60"/>
                  <w:rPr>
                    <w:rFonts w:ascii="Times New Roman" w:hAnsi="Times New Roman" w:cs="Times New Roman"/>
                    <w:bCs/>
                    <w:lang w:val="is-IS"/>
                  </w:rPr>
                </w:pPr>
                <w:r>
                  <w:rPr>
                    <w:rFonts w:ascii="Times New Roman" w:hAnsi="Times New Roman" w:cs="Times New Roman"/>
                    <w:bCs/>
                    <w:lang w:val="is-IS"/>
                  </w:rPr>
                  <w:t>Ekki verður séð að frumvarpið muni hafa áhrif á almenning og hefur þannig ekki breytileg áhrif á tiltekna þjóðfélagshópa.</w:t>
                </w:r>
              </w:p>
              <w:p w14:paraId="67A9DF7A" w14:textId="77777777" w:rsidR="000D6E33" w:rsidRPr="00346619"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Pr>
                    <w:rFonts w:ascii="Times New Roman" w:hAnsi="Times New Roman" w:cs="Times New Roman"/>
                    <w:b/>
                    <w:lang w:val="is-IS"/>
                  </w:rPr>
                  <w:t xml:space="preserve"> </w:t>
                </w:r>
              </w:p>
              <w:permEnd w:id="725639965" w:displacedByCustomXml="next"/>
            </w:sdtContent>
          </w:sdt>
        </w:tc>
      </w:tr>
      <w:tr w:rsidR="00311838" w:rsidRPr="0047580A" w14:paraId="23878629" w14:textId="77777777" w:rsidTr="007414CB">
        <w:tc>
          <w:tcPr>
            <w:tcW w:w="9288" w:type="dxa"/>
            <w:shd w:val="clear" w:color="auto" w:fill="92CDDC" w:themeFill="accent5" w:themeFillTint="99"/>
          </w:tcPr>
          <w:p w14:paraId="4531D364"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0392C016"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859996489" w:edGrp="everyone" w:displacedByCustomXml="prev"/>
              <w:p w14:paraId="21329CC7" w14:textId="2EAC744C"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3C5AD768" w14:textId="77777777" w:rsidR="002B139C" w:rsidRPr="002B139C" w:rsidRDefault="002B139C" w:rsidP="002B139C">
                <w:pPr>
                  <w:spacing w:before="60" w:after="60"/>
                  <w:rPr>
                    <w:rFonts w:ascii="Times New Roman" w:hAnsi="Times New Roman" w:cs="Times New Roman"/>
                    <w:b/>
                    <w:lang w:val="is-IS"/>
                  </w:rPr>
                </w:pPr>
                <w:r>
                  <w:rPr>
                    <w:rFonts w:ascii="Times New Roman" w:hAnsi="Times New Roman" w:cs="Times New Roman"/>
                    <w:bCs/>
                    <w:lang w:val="is-IS"/>
                  </w:rPr>
                  <w:t>Ekki verður séð að neinn kostnaður hljótist af frumvarpinu fyrir ríkissjóð.</w:t>
                </w:r>
              </w:p>
              <w:p w14:paraId="28F64F78" w14:textId="77777777" w:rsidR="002B139C" w:rsidRDefault="002B139C" w:rsidP="002B139C">
                <w:pPr>
                  <w:pStyle w:val="Mlsgreinlista"/>
                  <w:spacing w:before="60" w:after="60"/>
                  <w:contextualSpacing w:val="0"/>
                  <w:rPr>
                    <w:rFonts w:ascii="Times New Roman" w:hAnsi="Times New Roman" w:cs="Times New Roman"/>
                    <w:b/>
                    <w:lang w:val="is-IS"/>
                  </w:rPr>
                </w:pPr>
              </w:p>
              <w:p w14:paraId="2DB53584"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E6A8A35" w14:textId="77777777" w:rsidR="00CA3381"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0A7205B6" w14:textId="77777777" w:rsidR="00BE1A1F" w:rsidRPr="00BE1A1F" w:rsidRDefault="00BE1A1F" w:rsidP="00BE1A1F">
                <w:pPr>
                  <w:spacing w:before="60" w:after="60"/>
                  <w:rPr>
                    <w:rFonts w:ascii="Times New Roman" w:hAnsi="Times New Roman" w:cs="Times New Roman"/>
                    <w:b/>
                    <w:lang w:val="is-IS"/>
                  </w:rPr>
                </w:pPr>
              </w:p>
              <w:p w14:paraId="1BD2DDC6" w14:textId="49276DB1" w:rsidR="00BE1A1F" w:rsidRPr="00F33A33" w:rsidRDefault="00BE1A1F" w:rsidP="00BE1A1F">
                <w:pPr>
                  <w:pStyle w:val="Mlsgreinlista"/>
                  <w:spacing w:before="60" w:after="60"/>
                  <w:contextualSpacing w:val="0"/>
                  <w:rPr>
                    <w:rFonts w:ascii="Times New Roman" w:hAnsi="Times New Roman" w:cs="Times New Roman"/>
                    <w:b/>
                    <w:lang w:val="is-IS"/>
                  </w:rPr>
                </w:pPr>
                <w:proofErr w:type="spellStart"/>
                <w:r w:rsidRPr="00BE1A1F">
                  <w:rPr>
                    <w:rFonts w:ascii="Times New Roman" w:hAnsi="Times New Roman" w:cs="Times New Roman"/>
                    <w:bCs/>
                  </w:rPr>
                  <w:t>Heildaráhrif</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frumvarpsins</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eru</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talin</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jákvæð</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Það</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tryggir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samræmi</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við</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alþjóðlegar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skuldbindingar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Íslands</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styrkir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sjálfstæði</w:t>
                </w:r>
                <w:proofErr w:type="spellEnd"/>
                <w:r w:rsidRPr="00BE1A1F">
                  <w:rPr>
                    <w:rFonts w:ascii="Times New Roman" w:hAnsi="Times New Roman" w:cs="Times New Roman"/>
                    <w:bCs/>
                  </w:rPr>
                  <w:t xml:space="preserve"> og </w:t>
                </w:r>
                <w:proofErr w:type="spellStart"/>
                <w:r w:rsidRPr="00BE1A1F">
                  <w:rPr>
                    <w:rFonts w:ascii="Times New Roman" w:hAnsi="Times New Roman" w:cs="Times New Roman"/>
                    <w:bCs/>
                  </w:rPr>
                  <w:t>faglega</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getu</w:t>
                </w:r>
                <w:proofErr w:type="spellEnd"/>
                <w:r w:rsidRPr="00BE1A1F">
                  <w:rPr>
                    <w:rFonts w:ascii="Times New Roman" w:hAnsi="Times New Roman" w:cs="Times New Roman"/>
                    <w:bCs/>
                  </w:rPr>
                  <w:t xml:space="preserve"> Raforkueftirlitsins, </w:t>
                </w:r>
                <w:proofErr w:type="spellStart"/>
                <w:r w:rsidRPr="00BE1A1F">
                  <w:rPr>
                    <w:rFonts w:ascii="Times New Roman" w:hAnsi="Times New Roman" w:cs="Times New Roman"/>
                    <w:bCs/>
                  </w:rPr>
                  <w:t>eykur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fyrirsjáanleika</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fyrir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atvinnulíf</w:t>
                </w:r>
                <w:proofErr w:type="spellEnd"/>
                <w:r w:rsidRPr="00BE1A1F">
                  <w:rPr>
                    <w:rFonts w:ascii="Times New Roman" w:hAnsi="Times New Roman" w:cs="Times New Roman"/>
                    <w:bCs/>
                  </w:rPr>
                  <w:t xml:space="preserve"> og </w:t>
                </w:r>
                <w:proofErr w:type="spellStart"/>
                <w:r w:rsidRPr="00BE1A1F">
                  <w:rPr>
                    <w:rFonts w:ascii="Times New Roman" w:hAnsi="Times New Roman" w:cs="Times New Roman"/>
                    <w:bCs/>
                  </w:rPr>
                  <w:t>bætir</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réttarstöðu</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notenda</w:t>
                </w:r>
                <w:proofErr w:type="spellEnd"/>
                <w:r w:rsidRPr="00BE1A1F">
                  <w:rPr>
                    <w:rFonts w:ascii="Times New Roman" w:hAnsi="Times New Roman" w:cs="Times New Roman"/>
                    <w:bCs/>
                  </w:rPr>
                  <w:t xml:space="preserve"> </w:t>
                </w:r>
                <w:proofErr w:type="spellStart"/>
                <w:r w:rsidRPr="00BE1A1F">
                  <w:rPr>
                    <w:rFonts w:ascii="Times New Roman" w:hAnsi="Times New Roman" w:cs="Times New Roman"/>
                    <w:bCs/>
                  </w:rPr>
                  <w:t>raforku</w:t>
                </w:r>
                <w:proofErr w:type="spellEnd"/>
                <w:r w:rsidRPr="00BE1A1F">
                  <w:rPr>
                    <w:rFonts w:ascii="Times New Roman" w:hAnsi="Times New Roman" w:cs="Times New Roman"/>
                    <w:bCs/>
                  </w:rPr>
                  <w:t>.</w:t>
                </w:r>
                <w:r w:rsidRPr="00BE1A1F">
                  <w:rPr>
                    <w:rFonts w:ascii="Times New Roman" w:hAnsi="Times New Roman" w:cs="Times New Roman"/>
                    <w:b/>
                  </w:rPr>
                  <w:t> </w:t>
                </w:r>
              </w:p>
              <w:permEnd w:id="1859996489" w:displacedByCustomXml="next"/>
            </w:sdtContent>
          </w:sdt>
        </w:tc>
      </w:tr>
      <w:tr w:rsidR="00EB6651" w:rsidRPr="0047580A" w14:paraId="36D243FB" w14:textId="77777777" w:rsidTr="00EB6651">
        <w:tc>
          <w:tcPr>
            <w:tcW w:w="9288" w:type="dxa"/>
            <w:shd w:val="clear" w:color="auto" w:fill="92CDDC" w:themeFill="accent5" w:themeFillTint="99"/>
          </w:tcPr>
          <w:p w14:paraId="2FDFC696"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799F2B35" w14:textId="77777777" w:rsidTr="00EB6651">
        <w:tc>
          <w:tcPr>
            <w:tcW w:w="9288" w:type="dxa"/>
          </w:tcPr>
          <w:sdt>
            <w:sdtPr>
              <w:rPr>
                <w:rFonts w:ascii="Times New Roman" w:hAnsi="Times New Roman" w:cs="Times New Roman"/>
                <w:b/>
                <w:lang w:val="is-IS"/>
              </w:rPr>
              <w:id w:val="-1269299813"/>
            </w:sdtPr>
            <w:sdtEndPr/>
            <w:sdtContent>
              <w:permStart w:id="1184333156" w:edGrp="everyone" w:displacedByCustomXml="prev"/>
              <w:p w14:paraId="3B86C5B5"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3C5B7C35"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1CB8D3B9"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184333156" w:displacedByCustomXml="next"/>
            </w:sdtContent>
          </w:sdt>
        </w:tc>
      </w:tr>
    </w:tbl>
    <w:p w14:paraId="6A4989A3" w14:textId="77777777" w:rsidR="00263F72" w:rsidRDefault="00263F72">
      <w:pPr>
        <w:rPr>
          <w:rFonts w:ascii="Times New Roman" w:hAnsi="Times New Roman" w:cs="Times New Roman"/>
          <w:lang w:val="is-IS"/>
        </w:rPr>
      </w:pPr>
    </w:p>
    <w:p w14:paraId="223215F2" w14:textId="77777777" w:rsidR="00E568F6" w:rsidRDefault="00E568F6" w:rsidP="00E568F6">
      <w:pPr>
        <w:rPr>
          <w:rFonts w:ascii="Times New Roman" w:hAnsi="Times New Roman" w:cs="Times New Roman"/>
          <w:lang w:val="is-IS"/>
        </w:rPr>
      </w:pPr>
    </w:p>
    <w:p w14:paraId="7680B5AF"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5357" w14:textId="77777777" w:rsidR="00D36884" w:rsidRDefault="00D36884" w:rsidP="007478E0">
      <w:pPr>
        <w:spacing w:after="0" w:line="240" w:lineRule="auto"/>
      </w:pPr>
      <w:r>
        <w:separator/>
      </w:r>
    </w:p>
  </w:endnote>
  <w:endnote w:type="continuationSeparator" w:id="0">
    <w:p w14:paraId="1715EFAF" w14:textId="77777777" w:rsidR="00D36884" w:rsidRDefault="00D36884"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89787"/>
      <w:docPartObj>
        <w:docPartGallery w:val="Page Numbers (Bottom of Page)"/>
        <w:docPartUnique/>
      </w:docPartObj>
    </w:sdtPr>
    <w:sdtEndPr>
      <w:rPr>
        <w:noProof/>
      </w:rPr>
    </w:sdtEndPr>
    <w:sdtContent>
      <w:p w14:paraId="64BB857C"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08FCCBF4"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BB4B4" w14:textId="77777777" w:rsidR="00D36884" w:rsidRDefault="00D36884" w:rsidP="007478E0">
      <w:pPr>
        <w:spacing w:after="0" w:line="240" w:lineRule="auto"/>
      </w:pPr>
      <w:r>
        <w:separator/>
      </w:r>
    </w:p>
  </w:footnote>
  <w:footnote w:type="continuationSeparator" w:id="0">
    <w:p w14:paraId="11C6FA48" w14:textId="77777777" w:rsidR="00D36884" w:rsidRDefault="00D36884"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16cid:durableId="1019703269">
    <w:abstractNumId w:val="17"/>
  </w:num>
  <w:num w:numId="2" w16cid:durableId="313459472">
    <w:abstractNumId w:val="19"/>
  </w:num>
  <w:num w:numId="3" w16cid:durableId="2032679194">
    <w:abstractNumId w:val="1"/>
  </w:num>
  <w:num w:numId="4" w16cid:durableId="1507554182">
    <w:abstractNumId w:val="27"/>
  </w:num>
  <w:num w:numId="5" w16cid:durableId="724063256">
    <w:abstractNumId w:val="18"/>
  </w:num>
  <w:num w:numId="6" w16cid:durableId="1033919635">
    <w:abstractNumId w:val="12"/>
  </w:num>
  <w:num w:numId="7" w16cid:durableId="1247419900">
    <w:abstractNumId w:val="8"/>
  </w:num>
  <w:num w:numId="8" w16cid:durableId="297152004">
    <w:abstractNumId w:val="6"/>
  </w:num>
  <w:num w:numId="9" w16cid:durableId="1311712711">
    <w:abstractNumId w:val="14"/>
  </w:num>
  <w:num w:numId="10" w16cid:durableId="1950312138">
    <w:abstractNumId w:val="15"/>
  </w:num>
  <w:num w:numId="11" w16cid:durableId="2068340571">
    <w:abstractNumId w:val="24"/>
  </w:num>
  <w:num w:numId="12" w16cid:durableId="2095466734">
    <w:abstractNumId w:val="26"/>
  </w:num>
  <w:num w:numId="13" w16cid:durableId="35012762">
    <w:abstractNumId w:val="2"/>
  </w:num>
  <w:num w:numId="14" w16cid:durableId="1186406955">
    <w:abstractNumId w:val="3"/>
  </w:num>
  <w:num w:numId="15" w16cid:durableId="397673776">
    <w:abstractNumId w:val="28"/>
  </w:num>
  <w:num w:numId="16" w16cid:durableId="493648297">
    <w:abstractNumId w:val="0"/>
  </w:num>
  <w:num w:numId="17" w16cid:durableId="1211647995">
    <w:abstractNumId w:val="13"/>
  </w:num>
  <w:num w:numId="18" w16cid:durableId="1961913335">
    <w:abstractNumId w:val="22"/>
  </w:num>
  <w:num w:numId="19" w16cid:durableId="362290202">
    <w:abstractNumId w:val="23"/>
  </w:num>
  <w:num w:numId="20" w16cid:durableId="726756221">
    <w:abstractNumId w:val="20"/>
  </w:num>
  <w:num w:numId="21" w16cid:durableId="335498964">
    <w:abstractNumId w:val="10"/>
  </w:num>
  <w:num w:numId="22" w16cid:durableId="1451048338">
    <w:abstractNumId w:val="21"/>
  </w:num>
  <w:num w:numId="23" w16cid:durableId="1558709585">
    <w:abstractNumId w:val="16"/>
  </w:num>
  <w:num w:numId="24" w16cid:durableId="431970554">
    <w:abstractNumId w:val="4"/>
  </w:num>
  <w:num w:numId="25" w16cid:durableId="583074322">
    <w:abstractNumId w:val="9"/>
  </w:num>
  <w:num w:numId="26" w16cid:durableId="540480873">
    <w:abstractNumId w:val="7"/>
  </w:num>
  <w:num w:numId="27" w16cid:durableId="800728039">
    <w:abstractNumId w:val="25"/>
  </w:num>
  <w:num w:numId="28" w16cid:durableId="442728028">
    <w:abstractNumId w:val="5"/>
  </w:num>
  <w:num w:numId="29" w16cid:durableId="1779520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ocumentProtection w:edit="readOnly" w:enforcement="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216A"/>
    <w:rsid w:val="00133146"/>
    <w:rsid w:val="00135B40"/>
    <w:rsid w:val="0013710B"/>
    <w:rsid w:val="00143B7A"/>
    <w:rsid w:val="00176943"/>
    <w:rsid w:val="00187E36"/>
    <w:rsid w:val="001972B9"/>
    <w:rsid w:val="001A2C6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46BB4"/>
    <w:rsid w:val="0026156F"/>
    <w:rsid w:val="00263F72"/>
    <w:rsid w:val="002666DE"/>
    <w:rsid w:val="00267F64"/>
    <w:rsid w:val="002704D7"/>
    <w:rsid w:val="00281D86"/>
    <w:rsid w:val="002A4788"/>
    <w:rsid w:val="002B139C"/>
    <w:rsid w:val="002B70B7"/>
    <w:rsid w:val="002B76F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A1821"/>
    <w:rsid w:val="003B784E"/>
    <w:rsid w:val="003C66CA"/>
    <w:rsid w:val="003D01BF"/>
    <w:rsid w:val="003D1515"/>
    <w:rsid w:val="003E611E"/>
    <w:rsid w:val="003F530A"/>
    <w:rsid w:val="00403139"/>
    <w:rsid w:val="0043227F"/>
    <w:rsid w:val="004433F4"/>
    <w:rsid w:val="00450029"/>
    <w:rsid w:val="0045096C"/>
    <w:rsid w:val="004604F4"/>
    <w:rsid w:val="0047580A"/>
    <w:rsid w:val="004978E5"/>
    <w:rsid w:val="004A3002"/>
    <w:rsid w:val="004A515F"/>
    <w:rsid w:val="004E0322"/>
    <w:rsid w:val="004E0E11"/>
    <w:rsid w:val="004E4F53"/>
    <w:rsid w:val="004F0024"/>
    <w:rsid w:val="004F142F"/>
    <w:rsid w:val="004F1C38"/>
    <w:rsid w:val="004F5331"/>
    <w:rsid w:val="005176D0"/>
    <w:rsid w:val="00532D45"/>
    <w:rsid w:val="00535EC4"/>
    <w:rsid w:val="005641B1"/>
    <w:rsid w:val="00564856"/>
    <w:rsid w:val="00592E19"/>
    <w:rsid w:val="005A2A30"/>
    <w:rsid w:val="005B46C8"/>
    <w:rsid w:val="005C123A"/>
    <w:rsid w:val="005C1678"/>
    <w:rsid w:val="005D40C0"/>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4B91"/>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7C"/>
    <w:rsid w:val="00A72ECC"/>
    <w:rsid w:val="00A77160"/>
    <w:rsid w:val="00AA2EFD"/>
    <w:rsid w:val="00AB3CC3"/>
    <w:rsid w:val="00AB5511"/>
    <w:rsid w:val="00AB6474"/>
    <w:rsid w:val="00AB7771"/>
    <w:rsid w:val="00AB7DCB"/>
    <w:rsid w:val="00AC19E3"/>
    <w:rsid w:val="00AC1AE9"/>
    <w:rsid w:val="00AC47A3"/>
    <w:rsid w:val="00AD6D06"/>
    <w:rsid w:val="00AE50E5"/>
    <w:rsid w:val="00B339AF"/>
    <w:rsid w:val="00B65214"/>
    <w:rsid w:val="00B677F5"/>
    <w:rsid w:val="00B748B8"/>
    <w:rsid w:val="00B863E2"/>
    <w:rsid w:val="00BA4BB1"/>
    <w:rsid w:val="00BA5089"/>
    <w:rsid w:val="00BA5B20"/>
    <w:rsid w:val="00BB2B30"/>
    <w:rsid w:val="00BD69E0"/>
    <w:rsid w:val="00BE1A1F"/>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A3381"/>
    <w:rsid w:val="00CA5C1E"/>
    <w:rsid w:val="00CC343A"/>
    <w:rsid w:val="00CC774F"/>
    <w:rsid w:val="00CD60E4"/>
    <w:rsid w:val="00CE06FC"/>
    <w:rsid w:val="00CE190D"/>
    <w:rsid w:val="00CF477F"/>
    <w:rsid w:val="00D03E7A"/>
    <w:rsid w:val="00D0424B"/>
    <w:rsid w:val="00D121DE"/>
    <w:rsid w:val="00D148DB"/>
    <w:rsid w:val="00D23EAD"/>
    <w:rsid w:val="00D36304"/>
    <w:rsid w:val="00D36884"/>
    <w:rsid w:val="00D503AC"/>
    <w:rsid w:val="00D53AA7"/>
    <w:rsid w:val="00D62AAC"/>
    <w:rsid w:val="00D62CC3"/>
    <w:rsid w:val="00D64A3D"/>
    <w:rsid w:val="00D74D0E"/>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2EB7"/>
    <w:rsid w:val="00E832C9"/>
    <w:rsid w:val="00E8379D"/>
    <w:rsid w:val="00EB6651"/>
    <w:rsid w:val="00ED5A65"/>
    <w:rsid w:val="00EE7DC8"/>
    <w:rsid w:val="00EF25FE"/>
    <w:rsid w:val="00F33A33"/>
    <w:rsid w:val="00F51F2D"/>
    <w:rsid w:val="00F55F5D"/>
    <w:rsid w:val="00F656C4"/>
    <w:rsid w:val="00F7438A"/>
    <w:rsid w:val="00F841D8"/>
    <w:rsid w:val="00F92D2C"/>
    <w:rsid w:val="00F93B5C"/>
    <w:rsid w:val="00F9608F"/>
    <w:rsid w:val="00FA6351"/>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E8BE82"/>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30219C07E3A94778BA4203972C481C4C"/>
        <w:category>
          <w:name w:val="Almennt"/>
          <w:gallery w:val="placeholder"/>
        </w:category>
        <w:types>
          <w:type w:val="bbPlcHdr"/>
        </w:types>
        <w:behaviors>
          <w:behavior w:val="content"/>
        </w:behaviors>
        <w:guid w:val="{78BB54D5-6F2B-48C2-82DB-9E5E01BF8EA0}"/>
      </w:docPartPr>
      <w:docPartBody>
        <w:p w:rsidR="008203E1" w:rsidRDefault="008B72CB" w:rsidP="008B72CB">
          <w:pPr>
            <w:pStyle w:val="30219C07E3A94778BA4203972C481C4C"/>
          </w:pPr>
          <w:r>
            <w:rPr>
              <w:rFonts w:ascii="Times New Roman" w:hAnsi="Times New Roman" w:cs="Times New Roman"/>
            </w:rPr>
            <w:t>Textasvæði</w:t>
          </w:r>
        </w:p>
      </w:docPartBody>
    </w:docPart>
    <w:docPart>
      <w:docPartPr>
        <w:name w:val="77081CC737C1459AA5DC80336F977CFC"/>
        <w:category>
          <w:name w:val="Almennt"/>
          <w:gallery w:val="placeholder"/>
        </w:category>
        <w:types>
          <w:type w:val="bbPlcHdr"/>
        </w:types>
        <w:behaviors>
          <w:behavior w:val="content"/>
        </w:behaviors>
        <w:guid w:val="{44F68655-CC99-49B0-AA30-090C46FDC73D}"/>
      </w:docPartPr>
      <w:docPartBody>
        <w:p w:rsidR="008203E1" w:rsidRDefault="008B72CB" w:rsidP="008B72CB">
          <w:pPr>
            <w:pStyle w:val="77081CC737C1459AA5DC80336F977CFC"/>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46BB4"/>
    <w:rsid w:val="00261A33"/>
    <w:rsid w:val="002A3015"/>
    <w:rsid w:val="002C7EC4"/>
    <w:rsid w:val="002F7912"/>
    <w:rsid w:val="003044D5"/>
    <w:rsid w:val="0062144B"/>
    <w:rsid w:val="006B17C6"/>
    <w:rsid w:val="006D157A"/>
    <w:rsid w:val="006F1B63"/>
    <w:rsid w:val="0070759F"/>
    <w:rsid w:val="0074164A"/>
    <w:rsid w:val="00757EF8"/>
    <w:rsid w:val="00805AC3"/>
    <w:rsid w:val="008203E1"/>
    <w:rsid w:val="00823CBA"/>
    <w:rsid w:val="008B72CB"/>
    <w:rsid w:val="008E61E5"/>
    <w:rsid w:val="0095447C"/>
    <w:rsid w:val="00983C8A"/>
    <w:rsid w:val="009F53A8"/>
    <w:rsid w:val="00BD2B03"/>
    <w:rsid w:val="00C15123"/>
    <w:rsid w:val="00CA5C1E"/>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30219C07E3A94778BA4203972C481C4C">
    <w:name w:val="30219C07E3A94778BA4203972C481C4C"/>
    <w:rsid w:val="008B72CB"/>
  </w:style>
  <w:style w:type="paragraph" w:customStyle="1" w:styleId="77081CC737C1459AA5DC80336F977CFC">
    <w:name w:val="77081CC737C1459AA5DC80336F977CFC"/>
    <w:rsid w:val="008B7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6313</Characters>
  <Application>Microsoft Office Word</Application>
  <DocSecurity>0</DocSecurity>
  <Lines>52</Lines>
  <Paragraphs>14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Magnús Dige Baldursson</cp:lastModifiedBy>
  <cp:revision>2</cp:revision>
  <cp:lastPrinted>2017-01-12T13:13:00Z</cp:lastPrinted>
  <dcterms:created xsi:type="dcterms:W3CDTF">2026-03-02T14:28:00Z</dcterms:created>
  <dcterms:modified xsi:type="dcterms:W3CDTF">2026-03-02T14:28:00Z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2026-01-13T12:59:02Z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da5bc467-54e1-4f18-8bab-0fec65a83f12</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ies>
</file>