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MainTitle"/>
      </w:pPr>
      <w:r>
        <w:rPr>
          <w:caps/>
        </w:rPr>
        <w:t xml:space="preserve">Reglugerð Evrópuþingsins og ráðsins</w:t>
      </w:r>
      <w:r>
        <w:t xml:space="preserve"> (ESB) </w:t>
      </w:r>
      <w:r>
        <w:rPr>
          <w:caps/>
        </w:rPr>
        <w:t xml:space="preserve">2021/337</w:t>
      </w:r>
    </w:p>
    <w:p>
      <w:pPr>
        <w:pStyle w:val="MainTitle"/>
      </w:pPr>
      <w:r>
        <w:t xml:space="preserve">frá 16. febrúar 2021</w:t>
      </w:r>
    </w:p>
    <w:p>
      <w:pPr>
        <w:pStyle w:val="MainTitle"/>
        <w:spacing w:after="360"/>
      </w:pPr>
      <w:r>
        <w:t xml:space="preserve">um breytingu á reglugerð (ESB) 2017/1129 að því er varðar ESB-endurbótalýsingu og markvissar aðlaganir fyrir fjármálamilliliði og tilskipun 2004/109/EB að því er varðar notkun á sameiginlega rafræna skýrslusniðinu fyrir árleg reikningsskil, til að stuðla að endurbótum í kjölfar COVID-19 hættuástandsins</w:t>
      </w:r>
    </w:p>
    <w:p>
      <w:pPr>
        <w:pStyle w:val="PreambleInit"/>
        <w:spacing w:before="0" w:after="200"/>
      </w:pPr>
      <w:r>
        <w:t xml:space="preserve">EVRÓPUÞINGIÐ OG RÁÐ EVRÓPUSAMBANDSINS HAFA,</w:t>
      </w:r>
    </w:p>
    <w:p>
      <w:pPr>
        <w:pStyle w:val="Para"/>
      </w:pPr>
      <w:r>
        <w:t xml:space="preserve">með hliðsjón af sáttmálanum um starfshætti Evrópusambandsins, einkum 114. gr.,</w:t>
      </w:r>
    </w:p>
    <w:p>
      <w:pPr>
        <w:pStyle w:val="Para"/>
      </w:pPr>
      <w:r>
        <w:t xml:space="preserve">með hliðsjón af tillögu framkvæmdastjórnar Evrópusambandsins,</w:t>
      </w:r>
    </w:p>
    <w:p>
      <w:pPr>
        <w:pStyle w:val="Para"/>
      </w:pPr>
      <w:r>
        <w:t xml:space="preserve">eftir að hafa lagt drög að lagagerð fyrir þjóðþingin,</w:t>
      </w:r>
    </w:p>
    <w:p>
      <w:pPr>
        <w:pStyle w:val="Para"/>
      </w:pPr>
      <w:r>
        <w:t xml:space="preserve">með hliðsjón af áliti efnahags- og félagsmálanefndar Evrópusambandsins (</w:t>
      </w:r>
      <w:bookmarkStart w:id="0" w:name="NOTE_1"/>
      <w:r>
        <w:rPr>
          <w:rStyle w:val="FootnoteReference"/>
          <w:sz w:val="18"/>
        </w:rPr>
        <w:footnoteReference w:id="2"/>
      </w:r>
      <w:bookmarkEnd w:id="0"/>
      <w:r>
        <w:t xml:space="preserve">),</w:t>
      </w:r>
    </w:p>
    <w:p>
      <w:pPr>
        <w:pStyle w:val="Para"/>
      </w:pPr>
      <w:r>
        <w:t xml:space="preserve">í samræmi við almenna lagasetningarmeðferð (</w:t>
      </w:r>
      <w:bookmarkStart w:id="1" w:name="NOTE_2"/>
      <w:r>
        <w:rPr>
          <w:rStyle w:val="FootnoteReference"/>
          <w:sz w:val="18"/>
        </w:rPr>
        <w:footnoteReference w:id="3"/>
      </w:r>
      <w:bookmarkEnd w:id="1"/>
      <w:r>
        <w:t xml:space="preserve">),</w:t>
      </w:r>
    </w:p>
    <w:p>
      <w:pPr>
        <w:pStyle w:val="Para"/>
      </w:pPr>
      <w:r>
        <w:rPr>
          <w:i/>
          <w:iCs/>
        </w:rPr>
        <w:t xml:space="preserve">og að teknu tilliti til eftirfarandi</w:t>
      </w:r>
      <w:r>
        <w:t xml:space="preserve">:</w:t>
      </w:r>
    </w:p>
    <w:p>
      <w:pPr>
        <w:pStyle w:val="Consid"/>
      </w:pPr>
      <w:r>
        <w:t xml:space="preserve">1)</w:t>
      </w:r>
      <w:r>
        <w:tab/>
      </w:r>
      <w:r>
        <w:t xml:space="preserve">Covid-19 heimsfaraldurinn hefur haft alvarleg áhrif á fólk, fyrirtæki, heilbrigðiskerfi og efnahagslíf aðildarríkjanna.</w:t>
      </w:r>
      <w:r>
        <w:t xml:space="preserve"> </w:t>
      </w:r>
      <w:r>
        <w:t xml:space="preserve">Í orðsendingu sinni frá 27. maí 2020 undir heitinu „Tími Evrópu: Úrbætur og undirbúningur fyrir næstu kynslóð“, lagði framkvæmdastjórnin áherslu á að greiðsluhæfi/greiðsluhæfi og aðgangur að fjármagni verði viðvarandi verkefni.</w:t>
      </w:r>
      <w:r>
        <w:t xml:space="preserve"> </w:t>
      </w:r>
      <w:r>
        <w:t xml:space="preserve">Því er afar brýnt að styðja við endurbætur eftir það alvarlega efnahagslega áfall sem Covid-19 heimsfaraldurinn hefur valdið með því að innleiða markvissar breytingar á fyrirliggjandi lögum um fjármálaþjónustu í Sambandinu.</w:t>
      </w:r>
      <w:r>
        <w:t xml:space="preserve"> </w:t>
      </w:r>
      <w:r>
        <w:t xml:space="preserve">Þær breytingar samanstanda af fjölda ráðstafana og hafa þær verið samþykktar undir heitinu „Endurbótapakki fyrir fjármagnsmarkaði“.</w:t>
      </w:r>
    </w:p>
    <w:p>
      <w:pPr>
        <w:pStyle w:val="Consid"/>
      </w:pPr>
      <w:r>
        <w:t xml:space="preserve">2)</w:t>
      </w:r>
      <w:r>
        <w:tab/>
      </w:r>
      <w:r>
        <w:t xml:space="preserve">Í reglugerð Evrópuþingsins og ráðsins (ESB) 2017/1129 (</w:t>
      </w:r>
      <w:bookmarkStart w:id="2" w:name="NOTE_3"/>
      <w:r>
        <w:rPr>
          <w:rStyle w:val="FootnoteReference"/>
          <w:sz w:val="18"/>
        </w:rPr>
        <w:footnoteReference w:id="4"/>
      </w:r>
      <w:bookmarkEnd w:id="2"/>
      <w:r>
        <w:t xml:space="preserve">) er mælt fyrir um kröfur um gerð, staðfestingu og dreifingu lýsingarinnar sem birta skal þegar verðbréf eru boðin í almennu útboði eða tekin til viðskipta á skipulegum markaði sem er staðsettur eða starfræktur innan aðildarríkis.</w:t>
      </w:r>
      <w:r>
        <w:t xml:space="preserve"> </w:t>
      </w:r>
      <w:r>
        <w:t xml:space="preserve">Sem hluti af þeim fjölda ráðstafana til að aðstoða útgefendur við að ná sér eftir efnahagsáfallið sem Covid-19 heimsfaraldurinn hefur valdið eru markvissar breytingar á fyrirkomulagi lýsinga nauðsynlegar.</w:t>
      </w:r>
      <w:r>
        <w:t xml:space="preserve"> </w:t>
      </w:r>
      <w:r>
        <w:t xml:space="preserve">Breytingar þessar ættu að gera útgefendum og fjármálamilliliðum kleift að draga úr kostnaði og losa um fjármagn fyrir endurbótaferlið strax í kjölfar Covid-19 heimsfaraldursins.</w:t>
      </w:r>
      <w:r>
        <w:t xml:space="preserve"> </w:t>
      </w:r>
      <w:r>
        <w:t xml:space="preserve">Breytingar þessar ættu áfram að vera í samræmi við þau heildarmarkmið reglugerðar (ESB) 2017/1129 að hvetja til fjáröflunar fyrir tilstilli fjármagnsmarkaða, tryggja mikla vernd fyrir neytendur og fjárfesta, </w:t>
      </w:r>
      <w:r>
        <w:br w:type="column"/>
      </w:r>
      <w:r>
        <w:t xml:space="preserve">ýta undir samleitni í öllum aðildarríkjunum og tryggja eðlilega starfsemi innri markaðarins</w:t>
      </w:r>
      <w:r>
        <w:t xml:space="preserve"> </w:t>
      </w:r>
      <w:r>
        <w:t xml:space="preserve">Breytingar þessar ættu einnig sérstaklega að taka fullt tillit til þess að hve miklu leyti Covid-19 heimsfaraldurinn hefur haft áhrif á núverandi stöðu útgefenda og framtíðarhorfur þeirra.</w:t>
      </w:r>
    </w:p>
    <w:p>
      <w:pPr>
        <w:pStyle w:val="Consid"/>
      </w:pPr>
      <w:r>
        <w:t xml:space="preserve">3)</w:t>
      </w:r>
      <w:r>
        <w:tab/>
      </w:r>
      <w:r>
        <w:t xml:space="preserve">Covid-19 kreppan veldur því að fyrirtæki í Sambandinu, einkum lítil og meðalstór fyrirtæki og nýsköpunarfyrirtæki eru brothættari og berskjaldaðri.</w:t>
      </w:r>
      <w:r>
        <w:t xml:space="preserve"> </w:t>
      </w:r>
      <w:r>
        <w:t xml:space="preserve">Í því skyni að greiða fyrir og auka fjölbreytni fjármögnunarleiða fyrir fyrirtæki í Sambandinu, ef við á, með sérstakri áherslu á lítil og meðalstór fyrirtæki, þ.m.t. sprotafyrirtæki og meðalstór fyrirtæki sem eru skráð í kauphöll, getur það að ryðja úr vegi ótilhlýðilegum hindrunum og óhóflegu stjórnsýsluálagi stuðlað að því að efla getu fyrirtækja í Sambandinu til að fá aðgang að hlutabréfamörkuðum, auk þess að stuðla að samkeppnishæfari fjárfestingartækifærum til langs tíma fyrir almenna fjárfesta og stóra fjárfesta.</w:t>
      </w:r>
      <w:r>
        <w:t xml:space="preserve"> </w:t>
      </w:r>
      <w:r>
        <w:t xml:space="preserve">Reglugerð þessi ætti hvað þetta varðar einnig að miða að því að auðvelda hugsanlegum fjárfestum að afla sér upplýsinga um fjárfestingartækifæri í fyrirtækjum þar sem hugsanlegir fjárfestar eiga oft á tíðum erfitt með að meta nýsköpunarfyrirtæki og lítil fyrirtæki með stutta viðskiptasögu, staða sem leiðir til færri möguleika á nýsköpun, einkum fyrir aðila sem eru að hefja fyrirtækjarekstur.</w:t>
      </w:r>
    </w:p>
    <w:p>
      <w:pPr>
        <w:pStyle w:val="Consid"/>
      </w:pPr>
      <w:r>
        <w:t xml:space="preserve">4)</w:t>
      </w:r>
      <w:r>
        <w:tab/>
      </w:r>
      <w:r>
        <w:t xml:space="preserve">Lánastofnanir hafa verið virkar í þeirri viðleitni að styðja við fyrirtæki sem þurfa á fjármögnun að halda og þess er vænst að þær verði grundvallarstoð endurbótanna.</w:t>
      </w:r>
      <w:r>
        <w:t xml:space="preserve"> </w:t>
      </w:r>
      <w:r>
        <w:t xml:space="preserve">Í reglugerð (ESB) 2017/1129 er lánastofnunum veittur réttur til að fá undanþágu frá skyldunni um að birta lýsingu ef um er að ræða útboð eða ef verðbréf, sem ekki eru hlutabréfatengd og sem gefin eru út, eru tekin til viðskipta á skipulegum markaði með samfelldum og endurteknum hætti upp að samantekinni 75 milljóna evra fjárhæð á tólf mánaða tímabili.</w:t>
      </w:r>
      <w:r>
        <w:t xml:space="preserve"> </w:t>
      </w:r>
      <w:r>
        <w:t xml:space="preserve">Þá hámarksundanþágu ætti að hækka í takmarkaðan tíma til að stuðla að fjáröflun fyrir lánastofnanir og gefa þeim svigrúm til að styðja viðskiptavini sína í raunhagkerfinu.</w:t>
      </w:r>
      <w:r>
        <w:t xml:space="preserve"> </w:t>
      </w:r>
      <w:r>
        <w:t xml:space="preserve">Þar eð beiting þessa undanþáguhámarks takmarkast við endurbótafasann ætti hún aðeins að vera tiltæk í takmarkaðan tíma og renna út 31. desember 2022.</w:t>
      </w:r>
    </w:p>
    <w:p>
      <w:pPr>
        <w:pStyle w:val="Consid"/>
      </w:pPr>
      <w:r>
        <w:t xml:space="preserve">5)</w:t>
      </w:r>
      <w:r>
        <w:tab/>
      </w:r>
      <w:r>
        <w:t xml:space="preserve">Til að taka með skjótum hætti á alvarlegum, efnahagslegum áhrifum af Covid-19 heimsfaraldrinum er mikilvægt að innleiða ráðstafanir til að greiða fyrir fjárfestingum í raunhagkerfinu og gera fyrirtækjum í Sambandinu kleift að endurfjármagna sig með skjótum hætti og gera útgefendum kleift að nýta sér almenna markaði á fyrri stigum endurbótaferlisins.</w:t>
      </w:r>
      <w:r>
        <w:t xml:space="preserve"> </w:t>
      </w:r>
      <w:r>
        <w:t xml:space="preserve">Til að ná þessum markmiðum er við hæfi að búa til nýtt, styttra form lýsingar sem kallast ESB-endurbótalýsing sem, á sama tíma og tekist er á við efnahagsleg og fjárhagsleg vandamál sem Covid-19 heimsfaraldurinn hefur valdið, auðvelt er fyrir útgefendur að framleiða, er auðskilin fyrir fjárfesta, einkum almenna fjárfesta sem vilja fjármagna útgefendur, og sem lögbær yfirvöld eiga auðvelt með að grannskoða og staðfesta.</w:t>
      </w:r>
      <w:r>
        <w:t xml:space="preserve"> </w:t>
      </w:r>
      <w:r>
        <w:t xml:space="preserve">Fyrst og fremst ætti að líta svo á að ESB-endurbótalýsing auðveldi endurfjármögnun með varfærnu eftirliti af hálfu lögbærra yfirvalda til að tryggja að kröfum um upplýsingar um fjárfesta sé fullnægt.</w:t>
      </w:r>
      <w:r>
        <w:t xml:space="preserve"> </w:t>
      </w:r>
      <w:r>
        <w:t xml:space="preserve">Nauðsynlegt er að breytingarnar á reglugerð (ESB) 2017/1129 sem er að finna í þessari reglugerð ættu ekki að koma í staðinn fyrir áformaða endurskoðun á, og hugsanlegar breytingar á, reglugerð (ESB) 2017/1129, sem heildarmat á áhrifum yrði að fylgja með.</w:t>
      </w:r>
      <w:r>
        <w:t xml:space="preserve"> </w:t>
      </w:r>
      <w:r>
        <w:t xml:space="preserve">Í því sambandi væri ekki viðeigandi að bæta viðbótarþáttum við reglur um upplýsingagjöf sem ekki er þegar gerð krafa um samkvæmt þeirri reglugerð eða samkvæmt framseldri reglugerð framkvæmdastjórnarinnar (ESB) 2019/980 (</w:t>
      </w:r>
      <w:bookmarkStart w:id="3" w:name="NOTE_4"/>
      <w:r>
        <w:rPr>
          <w:rStyle w:val="FootnoteReference"/>
          <w:sz w:val="18"/>
        </w:rPr>
        <w:footnoteReference w:id="5"/>
      </w:r>
      <w:bookmarkEnd w:id="3"/>
      <w:r>
        <w:t xml:space="preserve">), að undanskildum sértækum upplýsingum sem tengjast áhrifunum af Covid-19 heimsfaraldrinum.</w:t>
      </w:r>
      <w:r>
        <w:t xml:space="preserve"> </w:t>
      </w:r>
      <w:r>
        <w:t xml:space="preserve">Slíka þætti ætti aðeins að innleiða ef um er að ræða tillögu að nýrri löggjöf frá framkvæmdastjórninni á grundvelli endurskoðunar af hennar hálfu á reglugerð (ESB) 2017/1129 eins og kveðið er á um í 48. gr. þeirrar reglugerðar.</w:t>
      </w:r>
    </w:p>
    <w:p>
      <w:pPr>
        <w:pStyle w:val="Consid"/>
        <w:spacing w:after="0"/>
      </w:pPr>
      <w:r>
        <w:t xml:space="preserve">6)</w:t>
      </w:r>
      <w:r>
        <w:tab/>
      </w:r>
      <w:r>
        <w:t xml:space="preserve">Mikilvægt er að samræma upplýsingar fyrir almenna fjárfesta og lykilupplýsingaskjöl þvert á mismunandi fjármálaafurðir og lög, og til að tryggja frjálst val á fjárfestingarkostum og samanburðarhæfi í Sambandinu.</w:t>
      </w:r>
      <w:r>
        <w:t xml:space="preserve"> </w:t>
      </w:r>
      <w:r>
        <w:t xml:space="preserve">Til viðbótar ætti að huga að vernd fyrir neytendur og almenna fjárfesta í fyrirhugaðri endurskoðun á reglugerð (ESB) 2017/1129 til að tryggja samræmd, einföld og auðskiljanleg upplýsingaskjöl fyrir alla almenna fjárfesta</w:t>
      </w:r>
      <w:r>
        <w:br w:type="page"/>
      </w:r>
    </w:p>
    <w:p>
      <w:pPr>
        <w:pStyle w:val="Consid"/>
      </w:pPr>
      <w:r>
        <w:t xml:space="preserve">7)</w:t>
      </w:r>
      <w:r>
        <w:tab/>
      </w:r>
      <w:r>
        <w:t xml:space="preserve">Upplýsingar um umhverfisleg, félagsleg og stjórnunarleg (UFS) málefni frá fyrirtækjum skipta sífellt meira máli fyrir fjárfesta til að meta áhrif fjárfestinga þeirra á sjálfbærni og til að fella athugunarefni varðandi sjálfbærni inn í ákvarðanatökuferli þeirra um fjárfestingar og áhættustýringu.</w:t>
      </w:r>
      <w:r>
        <w:t xml:space="preserve"> </w:t>
      </w:r>
      <w:r>
        <w:t xml:space="preserve">Af því leiðir að fyrirtæki eru undir æ meiri þrýstingi til að mæta kröfum frá bæði fjárfestum og lánastofnunum um atriði er varða UFS-málefni og er þeim gert skylt að fara að fjölmörgum stöðlum fyrir birtingu upplýsinga í tengslum við UFS-málefni, sem eru oft sundurleit og ósamræmd.</w:t>
      </w:r>
      <w:r>
        <w:t xml:space="preserve"> </w:t>
      </w:r>
      <w:r>
        <w:t xml:space="preserve">Framkvæmdastjórnin ætti því, í þeim tilgangi að bæta birtingu fyrirtækja á sjálfbærnitengdum upplýsingum og samræma kröfurnar fyrir slíkri birtingu sem kveðið er á um í reglugerð (ESB) 2017/1129, ásamt því að taka tillit til annarra laga Sambandsins um fjármálaþjónustu, í tengslum við endurskoðun á reglugerð (ESB) 2017/1129, meta hvort viðeigandi sé fella sjálfbærnitengdar upplýsingar inn í reglugerð (ESB) 2017/1129 og meta hvort viðeigandi sé að leggja fram tillögu að nýrri löggjöf til að tryggja samræmi við sjálfbærnimarkmið og samanburðarhæfi sjálfbærnitengdra upplýsinga í öllum lögum Sambandsins um fjármálaþjónustu.</w:t>
      </w:r>
    </w:p>
    <w:p>
      <w:pPr>
        <w:pStyle w:val="Consid"/>
      </w:pPr>
      <w:r>
        <w:t xml:space="preserve">8)</w:t>
      </w:r>
      <w:r>
        <w:tab/>
      </w:r>
      <w:r>
        <w:t xml:space="preserve">Fyrirtæki sem hafa fengið hlutabréf sín tekin til viðskipta á skipulegum markaði eða sem viðskipti hafa verið með á vaxtarmarkaði lítilla og meðalstórra fyrirtækja í að minnsta kosti 18 mánuði samfellt fyrir útboð á hlutabréfum eða töku til viðskipta hefðu átt að fara að reglubundnum og samfelldum kröfum um birtingu samkvæmt reglugerð Evrópuþingsins og ráðsins (ESB) nr. 596/2014 (</w:t>
      </w:r>
      <w:bookmarkStart w:id="4" w:name="NOTE_5"/>
      <w:r>
        <w:rPr>
          <w:rStyle w:val="FootnoteReference"/>
          <w:sz w:val="18"/>
        </w:rPr>
        <w:footnoteReference w:id="6"/>
      </w:r>
      <w:bookmarkEnd w:id="4"/>
      <w:r>
        <w:t xml:space="preserve">), tilskipun Evrópuþingsins og ráðsins 2004/109/EB (</w:t>
      </w:r>
      <w:bookmarkStart w:id="5" w:name="NOTE_6"/>
      <w:r>
        <w:rPr>
          <w:rStyle w:val="FootnoteReference"/>
          <w:sz w:val="18"/>
        </w:rPr>
        <w:footnoteReference w:id="7"/>
      </w:r>
      <w:bookmarkEnd w:id="5"/>
      <w:r>
        <w:t xml:space="preserve">) eða að því er varðar útgefendur á vaxtarmörkuðum lítilla og meðalstórra fyrirtækja samkvæmt framseldri reglugerð framkvæmdastjórnarinnar (ESB) 2017/565 (</w:t>
      </w:r>
      <w:bookmarkStart w:id="6" w:name="NOTE_7"/>
      <w:r>
        <w:rPr>
          <w:rStyle w:val="FootnoteReference"/>
          <w:sz w:val="18"/>
        </w:rPr>
        <w:footnoteReference w:id="8"/>
      </w:r>
      <w:bookmarkEnd w:id="6"/>
      <w:r>
        <w:t xml:space="preserve">).</w:t>
      </w:r>
      <w:r>
        <w:t xml:space="preserve"> </w:t>
      </w:r>
      <w:r>
        <w:t xml:space="preserve">Því mun stór hluti þess efnis sem krafist er fyrir lýsingu nú þegar vera öllum aðgengilegur og munu fjárfestar stunda viðskipti á grundvelli þeirra upplýsinga.</w:t>
      </w:r>
      <w:r>
        <w:t xml:space="preserve"> </w:t>
      </w:r>
      <w:r>
        <w:t xml:space="preserve">Þess vegna ætti aðeins að nota ESB-endurbótalýsingu fyrir síðari útgáfu hlutabréfa.</w:t>
      </w:r>
      <w:r>
        <w:t xml:space="preserve"> </w:t>
      </w:r>
      <w:r>
        <w:t xml:space="preserve">ESB-endurbótalýsing ætti að auðvelda fjármögnun með hlutabréfum og þar með gera fyrirtækjum kleift að endurfjármagna sig hratt.</w:t>
      </w:r>
      <w:r>
        <w:t xml:space="preserve"> </w:t>
      </w:r>
      <w:r>
        <w:t xml:space="preserve">ESB-endurbótalýsing ætti ekki að gera útgefendum kleift að færa sig frá vaxtarmarkaði lítilla og meðalstórra fyrirtækja til skipulegs markaðar.</w:t>
      </w:r>
      <w:r>
        <w:t xml:space="preserve"> </w:t>
      </w:r>
      <w:r>
        <w:t xml:space="preserve">Enn fremur ætti ESB-endurbótalýsing aðeins að taka til nauðsynlegra upplýsinga sem gera fjárfestum kleift að taka upplýstar ákvarðanir um fjárfestingu.</w:t>
      </w:r>
      <w:r>
        <w:t xml:space="preserve"> </w:t>
      </w:r>
      <w:r>
        <w:t xml:space="preserve">Útgefendur eða tilboðsgjafar ættu eigi að síður, ef við á, að taka á því hvernig Covid-19 heimsfaraldurinn hefur haft áhrif á viðskiptastarfsemi útgefenda, svo og vænt áhrif af heimsfaraldrinum á viðskiptastarfsemi útgefenda í framtíðinni, ef einhver eru.</w:t>
      </w:r>
    </w:p>
    <w:p>
      <w:pPr>
        <w:pStyle w:val="Consid"/>
      </w:pPr>
      <w:r>
        <w:t xml:space="preserve">9)</w:t>
      </w:r>
      <w:r>
        <w:tab/>
      </w:r>
      <w:r>
        <w:t xml:space="preserve">Til þess að ESB-endurbótalýsing verði skilvirkt tæki fyrir útgefendur ætti hún að vera í einu skjali af takmarkaðri stærð, gera ráð fyrir upplýsingum sem felldar eru inn með tilvísun, og njóta góðs af passanum fyrir samevrópskt útboð á hlutabréfum fyrir almenning eða vera tekin til viðskipta á skipulegum markaði.</w:t>
      </w:r>
    </w:p>
    <w:p>
      <w:pPr>
        <w:pStyle w:val="Consid"/>
        <w:spacing w:after="0"/>
      </w:pPr>
      <w:r>
        <w:t xml:space="preserve">10)</w:t>
      </w:r>
      <w:r>
        <w:tab/>
      </w:r>
      <w:r>
        <w:t xml:space="preserve">ESB-endurbótalýsing ætti að hafa að geyma stutta samantekt sem gagnlega upplýsingalind fyrir fjárfesta, einkum almenna fjárfesta.</w:t>
      </w:r>
      <w:r>
        <w:t xml:space="preserve"> </w:t>
      </w:r>
      <w:r>
        <w:t xml:space="preserve">Þá samantekt ætti að setja fram í byrjun ESB-endurbótalýsingarinnar og í henni ætti að leggja áherslu á lykilupplýsingar sem myndu gera fjárfestum kleift að ákveða hvaða almennu útboð og hlutabréf sem tekin eru til viðskipta þeir eigi að skoða betur og því næst kynna sér ESB-endurbótalýsinguna í heild sinni til að taka ákvörðun sína.</w:t>
      </w:r>
      <w:r>
        <w:t xml:space="preserve"> </w:t>
      </w:r>
      <w:r>
        <w:t xml:space="preserve">Lykilupplýsingarnar ættu að fela í sér upplýsingar sem varða hugsanleg viðskiptaleg og fjárhagsleg áhrif af völdum Covid-19 heimsfaraldursins, ef einhver eru, svo og vænt áhrif hans í framtíðinni, ef einhver eru.</w:t>
      </w:r>
      <w:r>
        <w:t xml:space="preserve"> </w:t>
      </w:r>
      <w:r>
        <w:t xml:space="preserve">ESB-endurbótalýsingin ætti að tryggja vernd almennra fjárfesta með því að fylgja viðeigandi ákvæði reglugerðar (ESB) 2017/1129, á sama tíma og komist er hjá óhóflegu stjórnsýsluálagi.</w:t>
      </w:r>
      <w:r>
        <w:t xml:space="preserve"> </w:t>
      </w:r>
      <w:r>
        <w:t xml:space="preserve">Að því er það varðar er mikilvægt að samantektin minnki ekki fjárfestavernd né veiti fjárfestum villandi upplýsingar.</w:t>
      </w:r>
      <w:r>
        <w:t xml:space="preserve"> </w:t>
      </w:r>
      <w:r>
        <w:t xml:space="preserve">Útgefendur eða tilboðsgjafar ættu því að tryggja mikla kostgæfni við samningu samantektarinnar.</w:t>
      </w:r>
      <w:r>
        <w:br w:type="page"/>
      </w:r>
    </w:p>
    <w:p>
      <w:pPr>
        <w:pStyle w:val="Consid"/>
      </w:pPr>
      <w:r>
        <w:t xml:space="preserve">11)</w:t>
      </w:r>
      <w:r>
        <w:tab/>
      </w:r>
      <w:r>
        <w:t xml:space="preserve">Þar eð ESB-endurbótalýsing myndi veita umtalsvert minni upplýsingar en einfölduð lýsing samkvæmt einfölduðu fyrirkomulagi upplýsingagjafar fyrir síðari útgáfu, ætti ekki að vera mögulegt fyrir útgefendur að nota hana fyrir mjög þynnandi útgáfu á hlutabréfum með veruleg áhrif á fjármagnsuppbyggingu, horfur og fjárhagsstöðu útgefandans.</w:t>
      </w:r>
      <w:r>
        <w:t xml:space="preserve"> </w:t>
      </w:r>
      <w:r>
        <w:t xml:space="preserve">Notkun á ESB-endurbótalýsingu ætti því að takmarkast við útboð sem fela ekki í sér meira en 150% af útistandandi höfuðstól.</w:t>
      </w:r>
      <w:r>
        <w:t xml:space="preserve"> </w:t>
      </w:r>
      <w:r>
        <w:t xml:space="preserve">Í þessari reglugerð ætti að mæla fyrir um nákvæm viðmið fyrir útreikning á slíku hámarki.</w:t>
      </w:r>
    </w:p>
    <w:p>
      <w:pPr>
        <w:pStyle w:val="Consid"/>
      </w:pPr>
      <w:r>
        <w:t xml:space="preserve">12)</w:t>
      </w:r>
      <w:r>
        <w:tab/>
      </w:r>
      <w:r>
        <w:t xml:space="preserve">Til að safna gögnum sem styðja við mat á fyrirkomulagi ESB-endurbótalýsingar ætti ESB-endurbótalýsing að vera í geymslukerfinu sem um getur í 6. mgr. 21. gr. reglugerðar (ESB) 2017/1129.</w:t>
      </w:r>
      <w:r>
        <w:t xml:space="preserve"> </w:t>
      </w:r>
      <w:r>
        <w:t xml:space="preserve">Til að takmarka stjórnsýslubyrðina við að breyta því geymslukerfi ætti ESB-endurbótalýsing að geta notað sömu gögn og þau sem skilgreind eru fyrir síðari útgáfu lýsingar sem sett er fram í 14. gr. reglugerðar (ESB) 2017/1129, að því tilskildu að þessar tvær útgáfur lýsinga verði áfram skýrt aðgreindar.</w:t>
      </w:r>
    </w:p>
    <w:p>
      <w:pPr>
        <w:pStyle w:val="Consid"/>
      </w:pPr>
      <w:r>
        <w:t xml:space="preserve">13)</w:t>
      </w:r>
      <w:r>
        <w:tab/>
      </w:r>
      <w:r>
        <w:t xml:space="preserve">ESB-endurbótalýsing ætti að koma til fyllingar öðrum lýsingum sem mælt er fyrir um í reglugerð (ESB) 2017/1129 í ljósi sérhæfni mismunandi gerða verðbréfa, útgefenda, útboða og töku til viðskipta.</w:t>
      </w:r>
      <w:r>
        <w:t xml:space="preserve"> </w:t>
      </w:r>
      <w:r>
        <w:t xml:space="preserve">Þess vegna ber að skilja allar tilvísanir í hugtakið „lýsing“ samkvæmt reglugerð (ESB) 2017/1129 sem þær vísi í allar mismunandi gerðir lýsinga, þ.m.t. ESB-endurbótalýsinguna sem mælt er fyrir um í þessari reglugerð, nema annað sé sérstaklega tekið fram, </w:t>
      </w:r>
    </w:p>
    <w:p>
      <w:pPr>
        <w:pStyle w:val="Consid"/>
      </w:pPr>
      <w:r>
        <w:t xml:space="preserve">14)</w:t>
      </w:r>
      <w:r>
        <w:tab/>
      </w:r>
      <w:r>
        <w:t xml:space="preserve">Í reglugerð (ESB) 2017/1129 er gerð krafa um að fjármálamilliliðir upplýsi fjárfesta um möguleikann á því viðauki verði birtur og, í tilteknum aðstæðum, hafi samband við fjárfesta sama dag og viðauki er birtur.</w:t>
      </w:r>
      <w:r>
        <w:t xml:space="preserve"> </w:t>
      </w:r>
      <w:r>
        <w:t xml:space="preserve">Lokafresturinn til að hafa samband við fjárfesta, svo og fjöldi fjárfesta sem haft verður samband við getur valdið erfiðleikum fyrir fjármálamilliliði.</w:t>
      </w:r>
      <w:r>
        <w:t xml:space="preserve"> </w:t>
      </w:r>
      <w:r>
        <w:t xml:space="preserve">Til að létta undir með og losa um tilföng hjá fjármálamilliliðum á sama tíma og mikilli fjárfestavernd er viðhaldið ætti að mæla fyrir um hóflegra fyrirkomulag.</w:t>
      </w:r>
      <w:r>
        <w:t xml:space="preserve"> </w:t>
      </w:r>
      <w:r>
        <w:t xml:space="preserve">Einkum ætti að gera ljóst að fjármálamilliliðir ættu að hafa samband við fjárfesta sem kaupa eða skrá sig fyrir verðbréfum í síðasta lagi við lok frumútboðsins.</w:t>
      </w:r>
      <w:r>
        <w:t xml:space="preserve"> </w:t>
      </w:r>
      <w:r>
        <w:t xml:space="preserve">Túlka ætti frumútboðið sem tilvísun í það tímabil þegar útgefandi eða tilboðsgjafi bjóða almenningi verðbréf eins og mælt er fyrir um í lýsingunni og útiloka síðari tímabil þegar verðbréf eru endurseld á markaðinum.</w:t>
      </w:r>
      <w:r>
        <w:t xml:space="preserve"> </w:t>
      </w:r>
      <w:r>
        <w:t xml:space="preserve">Tímabil frumútboðsins ætti fela í sér bæði frumútgáfu og síðari útgáfu verðbréfa.</w:t>
      </w:r>
      <w:r>
        <w:t xml:space="preserve"> </w:t>
      </w:r>
      <w:r>
        <w:t xml:space="preserve">Í slíku fyrirkomulagi ætti að tilgreina hvaða fjárfesta fjármálamilliliðir ættu að hafa samband við þegar viðauki er birtur og að framlengja ætti frestinn til að hafa samband við þessa fjárfesta.</w:t>
      </w:r>
      <w:r>
        <w:t xml:space="preserve"> </w:t>
      </w:r>
      <w:r>
        <w:t xml:space="preserve">Þrátt fyrir nýja fyrirkomulagið sem kveðið er á um í þessari reglugerð ættu gildandi ákvæði reglugerðar (ESB) 2017/1129 sem tryggja að viðaukinn sé aðgengilegur öllum fjárfestum með því að gera kröfu um að viðaukinn verði birtur á vefsetri sem er aðgengilegt öllum, að gilda áfram.</w:t>
      </w:r>
    </w:p>
    <w:p>
      <w:pPr>
        <w:pStyle w:val="Consid"/>
      </w:pPr>
      <w:r>
        <w:t xml:space="preserve">15)</w:t>
      </w:r>
      <w:r>
        <w:tab/>
      </w:r>
      <w:r>
        <w:t xml:space="preserve">Þar eð fyrirkomulag ESB-endurbótalýsingar er takmarkað við endurbótaferlið, ætti það fyrirkomulag að falla úr gildi 31. desember 2022.</w:t>
      </w:r>
      <w:r>
        <w:t xml:space="preserve"> </w:t>
      </w:r>
      <w:r>
        <w:t xml:space="preserve">Til að tryggja samfellu ESB-endurbótalýsingar ættu þær ESB-endurbótalýsingar sem hafa verið staðfestar fyrir gildislok fyrirkomulags ESB-endurbótalýsingar að njóta góðs af ákvæði sem mælir fyrir um að eldri reglur gildi.</w:t>
      </w:r>
    </w:p>
    <w:p>
      <w:pPr>
        <w:pStyle w:val="Consid"/>
      </w:pPr>
      <w:r>
        <w:t xml:space="preserve">16)</w:t>
      </w:r>
      <w:r>
        <w:tab/>
      </w:r>
      <w:r>
        <w:t xml:space="preserve">Framkvæmdastjórnin skal, eigi síðar en 21. júlí 2022, leggja fyrir Evrópuþingið og ráðið skýrslu um beitingu reglugerðar (ESB) 2017/1129, ásamt tillögu að nýrri löggjöf þegar við á.</w:t>
      </w:r>
      <w:r>
        <w:t xml:space="preserve"> </w:t>
      </w:r>
      <w:r>
        <w:t xml:space="preserve">Sú skýrsla skal meta, m.a., hvort fyrirkomulag við birtingu ESB-endurbótalýsinga sé viðeigandi til að uppfylla markmið þessarar reglugerðar.</w:t>
      </w:r>
      <w:r>
        <w:t xml:space="preserve"> </w:t>
      </w:r>
      <w:r>
        <w:t xml:space="preserve">Það mat ætti að fjalla um þá spurningu hvort í ESB-endurbótalýsingu sé viðunandi jafnvægi milli fjárfestaverndar og minnkaðs rekstrarlegs álags.</w:t>
      </w:r>
    </w:p>
    <w:p>
      <w:pPr>
        <w:pStyle w:val="Consid"/>
      </w:pPr>
      <w:r>
        <w:t xml:space="preserve">17)</w:t>
      </w:r>
      <w:r>
        <w:tab/>
      </w:r>
      <w:r>
        <w:t xml:space="preserve">Í tilskipun 2004/109/EB er þess krafist að útgefendur, sem eiga verðbréf sem tekin eru til viðskipta á skipulegum markaði sem er staðsettur í eða starfar innan aðildarríkis, undirbúi og birti árleg reikningsskil sín á sameiginlegu rafrænu skýrslusniði, frá og með þeim fjárhagsárum sem byrja 1. janúar 2020 eða síðar.</w:t>
      </w:r>
      <w:r>
        <w:t xml:space="preserve"> </w:t>
      </w:r>
      <w:r>
        <w:t xml:space="preserve">Sameiginlega rafræna skýrslusniðið er tilgreint í framseldri reglugerð framkvæmdastjórnarinnar (ESB) 2019/815 (</w:t>
      </w:r>
      <w:bookmarkStart w:id="7" w:name="NOTE_8"/>
      <w:r>
        <w:rPr>
          <w:rStyle w:val="FootnoteReference"/>
          <w:sz w:val="18"/>
        </w:rPr>
        <w:footnoteReference w:id="9"/>
      </w:r>
      <w:bookmarkEnd w:id="7"/>
      <w:r>
        <w:t xml:space="preserve">).</w:t>
      </w:r>
      <w:r>
        <w:t xml:space="preserve"> </w:t>
      </w:r>
      <w:r>
        <w:t xml:space="preserve">Aðildarríki ætti, að teknu tilliti til þess að undirbúningur árlegra reikningsskila þar sem sameiginlega rafræna skýrslusniðið er notað gerir kröfu um úthlutun á </w:t>
      </w:r>
      <w:r>
        <w:br w:type="column"/>
      </w:r>
      <w:r>
        <w:t xml:space="preserve">viðbótarmannafli og fjármagni, einkum á fyrsta ári undirbúningsins og að teknu tilliti til takmarkana á fjárráðum útgefenda vegna Covid-19 heimsfaraldursins, að geta frestað því um eitt ár að beita kröfunni til að undirbúa og birta árleg reikningsskil með því að nota sameiginlegt rafrænt skýrslusnið.</w:t>
      </w:r>
      <w:r>
        <w:t xml:space="preserve"> </w:t>
      </w:r>
      <w:r>
        <w:t xml:space="preserve">Til að nýta þann valkost ætti aðildarríki að tilkynna framkvæmdastjórninni um þá fyrirætlan sína að heimila slíkan frest og fyrirætlun þess ætti að vera tilhlýðilega rökstudd.</w:t>
      </w:r>
    </w:p>
    <w:p>
      <w:pPr>
        <w:pStyle w:val="Consid"/>
      </w:pPr>
      <w:r>
        <w:t xml:space="preserve">18)</w:t>
      </w:r>
      <w:r>
        <w:tab/>
      </w:r>
      <w:r>
        <w:t xml:space="preserve">Þar eð aðildarríkin geta ekki fyllilega náð markmiðum þessarar reglugerðar, þ.e. að innleiða ráðstafanir til að greiða fyrir fjárfestingum í raunhagkerfinu, gera kleift að endurfjármagna fyrirtæki í Sambandinu með skjótum hætti og gera útgefendum kleift að nýta sér opinbera markaði snemma í endurbótaferlinu, og þeim verður betur náð á vettvangi Sambandsins vegna umfangs og áhrifa þeirra, er Sambandinu heimilt að samþykkja ráðstafanir í samræmi við nálægðarregluna eins og sett er fram í 5. gr. sáttmálans um Evrópusambandið.</w:t>
      </w:r>
      <w:r>
        <w:t xml:space="preserve"> </w:t>
      </w:r>
      <w:r>
        <w:t xml:space="preserve">Í samræmi við meðalhófsregluna, eins og hún er sett fram í þeirri grein, er ekki gengið lengra en nauðsyn krefur í þessari reglugerð til að ná þeim markmiðum.</w:t>
      </w:r>
    </w:p>
    <w:p>
      <w:pPr>
        <w:pStyle w:val="Consid"/>
      </w:pPr>
      <w:r>
        <w:t xml:space="preserve">19)</w:t>
      </w:r>
      <w:r>
        <w:tab/>
      </w:r>
      <w:r>
        <w:t xml:space="preserve">Því ber að breyta reglugerð (ESB) nr. 2017/1129 og tilskipun nr. 2004/109/EB til samræmis við það.</w:t>
      </w:r>
    </w:p>
    <w:p>
      <w:pPr>
        <w:pStyle w:val="PreambleFinal"/>
        <w:spacing w:line="200" w:lineRule="exact"/>
      </w:pPr>
      <w:r>
        <w:t xml:space="preserve">SAMÞYKKT REGLUGERÐ ÞESSA:</w:t>
      </w:r>
    </w:p>
    <w:p>
      <w:pPr>
        <w:pStyle w:val="TIART"/>
      </w:pPr>
      <w:r>
        <w:t xml:space="preserve">1. gr.</w:t>
      </w:r>
    </w:p>
    <w:p>
      <w:pPr>
        <w:pStyle w:val="STIART"/>
      </w:pPr>
      <w:r>
        <w:t xml:space="preserve">Breytingar á reglugerð (ESB) 2017/1129</w:t>
      </w:r>
    </w:p>
    <w:p>
      <w:pPr>
        <w:pStyle w:val="Alinea"/>
      </w:pPr>
      <w:r>
        <w:t xml:space="preserve">Reglugerð (ESB) 2017/1129 er breytt sem hér segir:</w:t>
      </w:r>
    </w:p>
    <w:p>
      <w:pPr>
        <w:pStyle w:val="NumberedText"/>
        <w:tabs>
          <w:tab w:val="clear" w:pos="2047"/>
        </w:tabs>
        <w:ind w:left="383" w:hanging="383"/>
      </w:pPr>
      <w:r>
        <w:t xml:space="preserve">1)</w:t>
      </w:r>
      <w:r>
        <w:tab/>
      </w:r>
      <w:r>
        <w:t xml:space="preserve">Eftirfarandi liður bætist við í 4. mgr. 1. gr.:</w:t>
      </w:r>
    </w:p>
    <w:p>
      <w:pPr>
        <w:pStyle w:val="NumberedText"/>
        <w:ind w:left="757" w:hanging="373"/>
      </w:pPr>
      <w:r>
        <w:t xml:space="preserve">„l)</w:t>
      </w:r>
      <w:r>
        <w:tab/>
      </w:r>
      <w:r>
        <w:t xml:space="preserve">frá 18. mars 2021 til 31. desember 2022, verðbréf sem ekki eru hlutabréfatengd og lánastofnun gefur út með samfelldum eða endurteknum hætti, þar sem samanlagt heildarendurgjald í Sambandinu fyrir verðbréfin sem eru boðin út nemur minna en 150 000 000 evrum á hverja lánastofnun, reiknað yfir 12 mánaða tímabil, að því tilskildu að þessi verðbréf:</w:t>
      </w:r>
    </w:p>
    <w:p>
      <w:pPr>
        <w:pStyle w:val="NumberedText"/>
        <w:tabs>
          <w:tab w:val="clear" w:pos="2047"/>
        </w:tabs>
        <w:ind w:left="1061" w:hanging="303"/>
      </w:pPr>
      <w:r>
        <w:t xml:space="preserve">i.</w:t>
      </w:r>
      <w:r>
        <w:tab/>
      </w:r>
      <w:r>
        <w:t xml:space="preserve">séu ekki víkjandi, breytanleg eða skiptanleg og</w:t>
      </w:r>
    </w:p>
    <w:p>
      <w:pPr>
        <w:pStyle w:val="NumberedText"/>
        <w:tabs>
          <w:tab w:val="clear" w:pos="2047"/>
        </w:tabs>
        <w:ind w:left="1061" w:hanging="303"/>
      </w:pPr>
      <w:r>
        <w:t xml:space="preserve">ii.</w:t>
      </w:r>
      <w:r>
        <w:tab/>
      </w:r>
      <w:r>
        <w:t xml:space="preserve">veiti ekki rétt til að skrá sig fyrir eða kaupa aðrar tegundir verðbréfa og séu ekki tengd afleiðugerningi.“</w:t>
      </w:r>
    </w:p>
    <w:p>
      <w:pPr>
        <w:pStyle w:val="NumberedText"/>
        <w:tabs>
          <w:tab w:val="clear" w:pos="2047"/>
        </w:tabs>
        <w:ind w:left="383" w:hanging="383"/>
      </w:pPr>
      <w:r>
        <w:t xml:space="preserve">2)</w:t>
      </w:r>
      <w:r>
        <w:tab/>
      </w:r>
      <w:r>
        <w:t xml:space="preserve">Eftirfarandi liður bætist við í fyrstu undirgrein 5. mgr. 1. gr.:</w:t>
      </w:r>
    </w:p>
    <w:p>
      <w:pPr>
        <w:pStyle w:val="NumberedText"/>
        <w:ind w:left="797" w:hanging="413"/>
      </w:pPr>
      <w:r>
        <w:t xml:space="preserve">„k)</w:t>
      </w:r>
      <w:r>
        <w:tab/>
      </w:r>
      <w:r>
        <w:t xml:space="preserve">frá 18. mars 2021 til 31. desember 2022, verðbréf sem ekki eru hlutabréfatengd og lánastofnun gefur út með samfelldum eða endurteknum hætti, þar sem samanlagt heildarendurgjald í Sambandinu fyrir verðbréfin sem eru boðin út nemur minna en 150 000 000 evrum á hverja lánastofnun, reiknað yfir 12 mánaða tímabil, að því tilskildu að þessi verðbréf:</w:t>
      </w:r>
    </w:p>
    <w:p>
      <w:pPr>
        <w:pStyle w:val="NumberedText"/>
        <w:tabs>
          <w:tab w:val="clear" w:pos="2047"/>
        </w:tabs>
        <w:ind w:left="1101" w:hanging="303"/>
      </w:pPr>
      <w:r>
        <w:t xml:space="preserve">i.</w:t>
      </w:r>
      <w:r>
        <w:tab/>
      </w:r>
      <w:r>
        <w:t xml:space="preserve">séu ekki víkjandi, breytanleg eða skiptanleg og</w:t>
      </w:r>
    </w:p>
    <w:p>
      <w:pPr>
        <w:pStyle w:val="NumberedText"/>
        <w:tabs>
          <w:tab w:val="clear" w:pos="2047"/>
        </w:tabs>
        <w:ind w:left="1101" w:hanging="303"/>
      </w:pPr>
      <w:r>
        <w:t xml:space="preserve">ii.</w:t>
      </w:r>
      <w:r>
        <w:tab/>
      </w:r>
      <w:r>
        <w:t xml:space="preserve">veiti ekki rétt til að skrá sig fyrir eða kaupa aðrar tegundir verðbréfa og séu ekki tengd afleiðugerningi.“</w:t>
      </w:r>
    </w:p>
    <w:p>
      <w:pPr>
        <w:pStyle w:val="NumberedText"/>
        <w:tabs>
          <w:tab w:val="clear" w:pos="2047"/>
        </w:tabs>
        <w:ind w:left="383" w:hanging="383"/>
      </w:pPr>
      <w:r>
        <w:t xml:space="preserve">3)</w:t>
      </w:r>
      <w:r>
        <w:tab/>
      </w:r>
      <w:r>
        <w:t xml:space="preserve">Í 1. mgr. 6. gr. komi eftirfarandi í stað inngangshlutans í fyrstu undirgrein:</w:t>
      </w:r>
    </w:p>
    <w:p>
      <w:pPr>
        <w:pStyle w:val="AlineaWithParag"/>
        <w:tabs>
          <w:tab w:val="left" w:pos="783"/>
        </w:tabs>
        <w:ind w:left="383"/>
      </w:pPr>
      <w:r>
        <w:t xml:space="preserve">„1</w:t>
      </w:r>
      <w:r>
        <w:tab/>
      </w:r>
      <w:r>
        <w:t xml:space="preserve">Með fyrirvara um 14. gr. (2. mgr.), 14. gr. a (2. mgr.) og 18. gr. (1. mgr.) skal lýsing innihalda nauðsynlegar upplýsingar sem máli skipta fyrir fjárfesti til að geta metið með upplýstum hætti:“</w:t>
      </w:r>
    </w:p>
    <w:p>
      <w:pPr>
        <w:pStyle w:val="NumberedText"/>
        <w:tabs>
          <w:tab w:val="clear" w:pos="2047"/>
        </w:tabs>
        <w:ind w:left="383" w:hanging="383"/>
      </w:pPr>
      <w:r>
        <w:t xml:space="preserve">4)</w:t>
      </w:r>
      <w:r>
        <w:tab/>
      </w:r>
      <w:r>
        <w:t xml:space="preserve">Eftirfarandi málsgrein bætist við í 7. gr.:</w:t>
      </w:r>
    </w:p>
    <w:p>
      <w:pPr>
        <w:pStyle w:val="AlineaWithParag"/>
        <w:tabs>
          <w:tab w:val="left" w:pos="783"/>
        </w:tabs>
        <w:ind w:left="383"/>
      </w:pPr>
      <w:r>
        <w:t xml:space="preserve">„12a.</w:t>
      </w:r>
      <w:r>
        <w:tab/>
      </w:r>
      <w:r>
        <w:t xml:space="preserve">Þrátt fyrir 3. til 12. mgr. þessarar greinar skal ESB-endurbótalýsing, sem samin er í samræmi við 14, gr. a, fela í sér samantekt sem er samin í samræmi við þessa málsgrein.</w:t>
      </w:r>
    </w:p>
    <w:p>
      <w:pPr>
        <w:pStyle w:val="Alinea"/>
        <w:spacing w:after="0"/>
        <w:ind w:left="383"/>
      </w:pPr>
      <w:r>
        <w:t xml:space="preserve">Samantektin á ESB-endurbótalýsingunni skal samin sem stutt skjal sem ritað er á gagnorðan hátt og er að hámarki tvær A4 blaðsíður að lengd, útprentað.</w:t>
      </w:r>
      <w:r>
        <w:br w:type="page"/>
      </w:r>
    </w:p>
    <w:p>
      <w:pPr>
        <w:pStyle w:val="Alinea"/>
        <w:ind w:left="383"/>
      </w:pPr>
      <w:r>
        <w:t xml:space="preserve">Samantektin á ESB-endurbótalýsingunni skal hvorki hafa að geyma millivísanir í aðra hluta lýsingarinnar né fella upplýsingar inn í samantektina með tilvísun og skal:</w:t>
      </w:r>
    </w:p>
    <w:p>
      <w:pPr>
        <w:pStyle w:val="NumberedText"/>
        <w:ind w:left="677" w:hanging="293"/>
      </w:pPr>
      <w:r>
        <w:t xml:space="preserve">a)</w:t>
      </w:r>
      <w:r>
        <w:tab/>
      </w:r>
      <w:r>
        <w:t xml:space="preserve">sett fram og hönnuð þannig að hún sé auðveld aflestrar og skulu bók- og tölustafir vera af læsilegri stærð,</w:t>
      </w:r>
    </w:p>
    <w:p>
      <w:pPr>
        <w:pStyle w:val="NumberedText"/>
        <w:ind w:left="677" w:hanging="293"/>
      </w:pPr>
      <w:r>
        <w:t xml:space="preserve">b)</w:t>
      </w:r>
      <w:r>
        <w:tab/>
      </w:r>
      <w:r>
        <w:t xml:space="preserve">skrifuð á tungumáli og í stíl sem auðveldar skilning á upplýsingunum, einkum á máli sem er skýrt, ekki tæknilegt, heldur gagnort og auðskilið fjárfestum,</w:t>
      </w:r>
    </w:p>
    <w:p>
      <w:pPr>
        <w:pStyle w:val="NumberedText"/>
        <w:ind w:left="677" w:hanging="293"/>
      </w:pPr>
      <w:r>
        <w:t xml:space="preserve">c)</w:t>
      </w:r>
      <w:r>
        <w:tab/>
      </w:r>
      <w:r>
        <w:t xml:space="preserve">samanstanda af eftirfarandi fjórum köflum:</w:t>
      </w:r>
    </w:p>
    <w:p>
      <w:pPr>
        <w:pStyle w:val="NumberedText"/>
        <w:tabs>
          <w:tab w:val="clear" w:pos="2047"/>
        </w:tabs>
        <w:ind w:left="1031" w:hanging="353"/>
      </w:pPr>
      <w:r>
        <w:t xml:space="preserve">i.</w:t>
      </w:r>
      <w:r>
        <w:tab/>
      </w:r>
      <w:r>
        <w:t xml:space="preserve">inngangi sem inniheldur allar upplýsingarnar sem um getur í 5. mgr. þessarar greinar, m.a. viðvaranir og dagsetningu staðfestingar ESB-endurbótalýsingar,</w:t>
      </w:r>
    </w:p>
    <w:p>
      <w:pPr>
        <w:pStyle w:val="NumberedText"/>
        <w:tabs>
          <w:tab w:val="clear" w:pos="2047"/>
        </w:tabs>
        <w:ind w:left="1031" w:hanging="353"/>
      </w:pPr>
      <w:r>
        <w:t xml:space="preserve">ii.</w:t>
      </w:r>
      <w:r>
        <w:tab/>
      </w:r>
      <w:r>
        <w:t xml:space="preserve">lykilupplýsingum um útgefandann, m.a., ef við á, sérstaka greinargerð, í eigi færri en 200 orðum um viðskiptaleg og fjárhagsleg áhrif Covid-19 heimsfaraldursins á útgefandann,</w:t>
      </w:r>
    </w:p>
    <w:p>
      <w:pPr>
        <w:pStyle w:val="NumberedText"/>
        <w:tabs>
          <w:tab w:val="clear" w:pos="2047"/>
        </w:tabs>
        <w:ind w:left="1031" w:hanging="353"/>
      </w:pPr>
      <w:r>
        <w:t xml:space="preserve">iii.</w:t>
      </w:r>
      <w:r>
        <w:tab/>
      </w:r>
      <w:r>
        <w:t xml:space="preserve">lykilupplýsingum um hlutabréfin, m.a. réttindi sem tengjast þessum hlutabréfum og takmörkunum á þessum réttindum,</w:t>
      </w:r>
    </w:p>
    <w:p>
      <w:pPr>
        <w:pStyle w:val="NumberedText"/>
        <w:tabs>
          <w:tab w:val="clear" w:pos="2047"/>
        </w:tabs>
        <w:ind w:left="1031" w:hanging="353"/>
      </w:pPr>
      <w:r>
        <w:t xml:space="preserve">iv.</w:t>
      </w:r>
      <w:r>
        <w:tab/>
      </w:r>
      <w:r>
        <w:t xml:space="preserve">lykilupplýsingum um almennt útboð á hlutabréfum og/eða töku til viðskipta á skipulegum markaði.“</w:t>
      </w:r>
    </w:p>
    <w:p>
      <w:pPr>
        <w:pStyle w:val="NumberedText"/>
        <w:tabs>
          <w:tab w:val="clear" w:pos="2047"/>
        </w:tabs>
        <w:ind w:left="383" w:hanging="383"/>
      </w:pPr>
      <w:r>
        <w:t xml:space="preserve">5)</w:t>
      </w:r>
      <w:r>
        <w:tab/>
      </w:r>
      <w:r>
        <w:t xml:space="preserve">Eftirfarandi grein bætist við:</w:t>
      </w:r>
    </w:p>
    <w:p>
      <w:pPr>
        <w:pStyle w:val="TIARTquoted"/>
        <w:ind w:left="383"/>
      </w:pPr>
      <w:r>
        <w:t xml:space="preserve">,,14. gr. a</w:t>
      </w:r>
    </w:p>
    <w:p>
      <w:pPr>
        <w:pStyle w:val="STIARTquoted"/>
        <w:ind w:left="383"/>
      </w:pPr>
      <w:r>
        <w:t xml:space="preserve">ESB-endurbótalýsing</w:t>
      </w:r>
    </w:p>
    <w:p>
      <w:pPr>
        <w:pStyle w:val="AlineaWithParag"/>
        <w:tabs>
          <w:tab w:val="left" w:pos="783"/>
        </w:tabs>
        <w:ind w:left="383"/>
      </w:pPr>
      <w:r>
        <w:t xml:space="preserve">1.</w:t>
      </w:r>
      <w:r>
        <w:tab/>
      </w:r>
      <w:r>
        <w:t xml:space="preserve">Eftirtaldir aðilar geta valið að semja ESB-endurbótalýsingu samkvæmt einfölduðu fyrirkomulagi upplýsingagjafar sem sett er fram í þessari grein ef um er að ræða almennt útboð eða töku verðbréfa til viðskipta á skipulegum markaði:</w:t>
      </w:r>
    </w:p>
    <w:p>
      <w:pPr>
        <w:pStyle w:val="NumberedText"/>
        <w:ind w:left="677" w:hanging="293"/>
      </w:pPr>
      <w:r>
        <w:t xml:space="preserve">a)</w:t>
      </w:r>
      <w:r>
        <w:tab/>
      </w:r>
      <w:r>
        <w:t xml:space="preserve">útgefendur hlutabréfa sem hafa verið tekin til viðskipta á skipulegum markaði samfleytt a.m.k. næstliðna 18 mánuði og sem gefa út verðbréf sem eru jafngeng (e. </w:t>
      </w:r>
      <w:r>
        <w:rPr>
          <w:i/>
          <w:iCs/>
        </w:rPr>
        <w:t xml:space="preserve">fungible</w:t>
      </w:r>
      <w:r>
        <w:t xml:space="preserve">) hlutabréfum sem áður hafa verið gefin út,</w:t>
      </w:r>
    </w:p>
    <w:p>
      <w:pPr>
        <w:pStyle w:val="NumberedText"/>
        <w:ind w:left="677" w:hanging="293"/>
      </w:pPr>
      <w:r>
        <w:t xml:space="preserve">b)</w:t>
      </w:r>
      <w:r>
        <w:tab/>
      </w:r>
      <w:r>
        <w:t xml:space="preserve">útgefendur hlutabréfa sem viðskipti hafa þegar verið með á vaxtarmarkaði lítilla og meðalstórra fyrirtækja samfleytt að minnsta kosti næstliðna 18 mánuði, að því tilskildu að lýsing hafi verið birt fyrir útboð á þeim hlutabréfum og sem gefa út hlutabréf sem eru jafngeng fyrirliggjandi hlutabréfum sem áður hafa verið gefin út,</w:t>
      </w:r>
    </w:p>
    <w:p>
      <w:pPr>
        <w:pStyle w:val="NumberedText"/>
        <w:ind w:left="677" w:hanging="293"/>
      </w:pPr>
      <w:r>
        <w:t xml:space="preserve">c)</w:t>
      </w:r>
      <w:r>
        <w:tab/>
      </w:r>
      <w:r>
        <w:t xml:space="preserve">tilboðsgjafar hlutabréfa sem hafa verið tekin til viðskipta á skipulegum markaði eða vaxtarmarkaði lítilla og meðalstórra fyrirtækja samfleytt a.m.k. næstliðna 18 mánuði.</w:t>
      </w:r>
    </w:p>
    <w:p>
      <w:pPr>
        <w:pStyle w:val="Alinea"/>
        <w:ind w:left="383"/>
      </w:pPr>
      <w:r>
        <w:t xml:space="preserve">Útgefendur geta aðeins samið ESB-endurbótalýsingu að því tilskildu að fjöldi hlutabréfa sem ætlunin er að bjóða út, ásamt þeim fjölda hlutabréfa sem þegar hafa verið boðin út með ESB-endurbótalýsingu á 12 mánaða tímabili, sé ekki meira en 150% af þeim fjölda hlutabréfa sem þegar hafa verið tekin til viðskipta á skipulegum markaði eða á vaxtarmarkaði lítilla og meðalstórra fyrirtækja, eftir því sem við á, á þeim degi þegar ESB-endurbótalýsingin var staðfest.</w:t>
      </w:r>
    </w:p>
    <w:p>
      <w:pPr>
        <w:pStyle w:val="Alinea"/>
        <w:ind w:left="383"/>
      </w:pPr>
      <w:r>
        <w:t xml:space="preserve">Tólf mánaða tímabilið sem um getur í annarri undirgrein skal hefjast á þeim degi þegar ESB-endurbótalýsingin er staðfest.</w:t>
      </w:r>
    </w:p>
    <w:p>
      <w:pPr>
        <w:pStyle w:val="AlineaWithParag"/>
        <w:tabs>
          <w:tab w:val="left" w:pos="783"/>
        </w:tabs>
        <w:ind w:left="383"/>
      </w:pPr>
      <w:r>
        <w:t xml:space="preserve">2.</w:t>
      </w:r>
      <w:r>
        <w:tab/>
      </w:r>
      <w:r>
        <w:t xml:space="preserve">Þrátt fyrir 1. mgr. 6. gr. og með fyrirvara um 1. mgr. 18. gr. skal ESB-endurbótalýsing hafa að geyma viðkomandi einfaldaðar upplýsingar sem eru nauðsynlegar til að gera fjárfestum kleift að skilja:</w:t>
      </w:r>
    </w:p>
    <w:p>
      <w:pPr>
        <w:pStyle w:val="NumberedText"/>
        <w:ind w:left="677" w:hanging="293"/>
      </w:pPr>
      <w:r>
        <w:t xml:space="preserve">a)</w:t>
      </w:r>
      <w:r>
        <w:tab/>
      </w:r>
      <w:r>
        <w:t xml:space="preserve">horfur og fjárhagslega afkomu útgefandans og umtalsverðar breytingar á fjármálalegri og rekstrarlegri stöðu útgefandans sem hafa orðið frá því í lok næstliðins fjárhagsárs, ef einhverjar eru, ásamt fjárhagslegri og ófjárhagslegri langtímastefnumótun og markmiðum, m.a. ef við á, sérstaka greinargerð í eigi færri en 400 orðum um viðskiptaleg og fjárhagsleg áhrif Covid-19 heimsfaraldursins á útgefandann og væntanleg áhrif af honum í framtíðinni.</w:t>
      </w:r>
    </w:p>
    <w:p>
      <w:pPr>
        <w:pStyle w:val="NumberedText"/>
        <w:spacing w:after="0"/>
        <w:ind w:left="677" w:hanging="293"/>
      </w:pPr>
      <w:r>
        <w:t xml:space="preserve">b)</w:t>
      </w:r>
      <w:r>
        <w:tab/>
      </w:r>
      <w:r>
        <w:t xml:space="preserve">nauðsynlegar upplýsingar um hlutabréfin, m.a. réttindi sem fylgja þessum hlutabréfum og allar takmarkanir á þeim réttindum, ástæðurnar fyrir útgáfunni og áhrif hennar á útgefandann, þ.m.t. á heildarfjármagnsskipan útgefandans, ásamt birtingu á fjármögnun og skuldsetningu, yfirlýsing um veltufé og notkun ágóðans.</w:t>
      </w:r>
      <w:r>
        <w:br w:type="page"/>
      </w:r>
    </w:p>
    <w:p>
      <w:pPr>
        <w:pStyle w:val="AlineaWithParag"/>
        <w:tabs>
          <w:tab w:val="left" w:pos="783"/>
        </w:tabs>
        <w:ind w:left="383"/>
      </w:pPr>
      <w:r>
        <w:t xml:space="preserve">3.</w:t>
      </w:r>
      <w:r>
        <w:tab/>
      </w:r>
      <w:r>
        <w:t xml:space="preserve">Upplýsingarnar í ESB-endurbótalýsingunni skulu skrifaðar og settar fram á auðgreinanlegan, gagnorðan og auðskilinn hátt og gera fjárfestum kleift, einkum almennum fjárfestum, að taka upplýsta fjárfestingarákvörðun, að teknu tilliti til upplýsinga sem reglur kveða á um og sem hafa þegar verið birtar almenningi samkvæmt tilskipun 2004/109/EB, ef við á, reglugerð (ESB) nr. 596/2014 og, ef við á, upplýsingar sem um getur í framseldri reglugerð framkvæmdastjórnarinnar (ESB) 2017/565 (</w:t>
      </w:r>
      <w:r>
        <w:fldChar w:fldCharType="begin" w:dirty="true"/>
      </w:r>
      <w:r>
        <w:instrText xml:space="preserve"> REF NOTE_9 \h  \* MERGEFORMAT </w:instrText>
      </w:r>
      <w:r>
        <w:fldChar w:fldCharType="separate"/>
      </w:r>
      <w:r>
        <w:t>*</w:t>
      </w:r>
      <w:r>
        <w:fldChar w:fldCharType="end"/>
      </w:r>
      <w:r>
        <w:t xml:space="preserve">).</w:t>
      </w:r>
    </w:p>
    <w:p>
      <w:pPr>
        <w:pStyle w:val="AlineaWithParag"/>
        <w:tabs>
          <w:tab w:val="left" w:pos="783"/>
        </w:tabs>
        <w:ind w:left="383"/>
      </w:pPr>
      <w:r>
        <w:t xml:space="preserve">4.</w:t>
      </w:r>
      <w:r>
        <w:tab/>
      </w:r>
      <w:r>
        <w:t xml:space="preserve">ESB-endurbótalýsingin skal samin sem eitt skjal sem inniheldur lágmarksupplýsingarnar sem settar eru fram í V. viðauka a.</w:t>
      </w:r>
      <w:r>
        <w:t xml:space="preserve"> </w:t>
      </w:r>
      <w:r>
        <w:t xml:space="preserve">Hún skal að hámarki vera 30 síður í A4 stærð þegar hún er prentuð og skal setja hana fram og brjóta um á þann hátt að auðvelt sé að lesa hana og skal letrið vera af læsilegri stærð.</w:t>
      </w:r>
    </w:p>
    <w:p>
      <w:pPr>
        <w:pStyle w:val="AlineaWithParag"/>
        <w:tabs>
          <w:tab w:val="left" w:pos="783"/>
        </w:tabs>
        <w:ind w:left="383"/>
      </w:pPr>
      <w:r>
        <w:t xml:space="preserve">5.</w:t>
      </w:r>
      <w:r>
        <w:tab/>
      </w:r>
      <w:r>
        <w:t xml:space="preserve">Hvorki skal taka tillit til samantektarinnar né upplýsinganna sem felldar eru inn með tilvísun í samræmi við 19. gr. að því er varðar hámarkslengdina sem um getur í 4. mgr. þessarar greinar.</w:t>
      </w:r>
    </w:p>
    <w:p>
      <w:pPr>
        <w:pStyle w:val="AlineaWithParag"/>
        <w:tabs>
          <w:tab w:val="left" w:pos="783"/>
        </w:tabs>
        <w:ind w:left="383"/>
      </w:pPr>
      <w:r>
        <w:t xml:space="preserve">6.</w:t>
      </w:r>
      <w:r>
        <w:tab/>
      </w:r>
      <w:r>
        <w:t xml:space="preserve">Útgefendur geta ákveðið í hvaða röð upplýsingarnar, sem settar eru fram í V. viðauka a eru settar fram í ESB-endurbótalýsingu.</w:t>
      </w:r>
    </w:p>
    <w:p>
      <w:pPr>
        <w:pStyle w:val="QuoteFootnoteRule"/>
        <w:pBdr>
          <w:bottom w:val="none" w:sz="0" w:space="0" w:color="auto"/>
        </w:pBdr>
        <w:tabs>
          <w:tab w:val="left" w:pos="1398"/>
        </w:tabs>
        <w:ind w:left="383" w:right="7842"/>
        <w:rPr>
          <w:u w:val="single"/>
        </w:rPr>
      </w:pPr>
      <w:r>
        <w:rPr>
          <w:u w:val="single"/>
        </w:rPr>
        <w:tab/>
      </w:r>
    </w:p>
    <w:p>
      <w:pPr>
        <w:pStyle w:val="NumberedText"/>
        <w:ind w:left="687" w:hanging="303"/>
      </w:pPr>
      <w:r>
        <w:t xml:space="preserve">(</w:t>
      </w:r>
      <w:bookmarkStart w:id="8" w:name="NOTE_9"/>
      <w:r>
        <w:t xml:space="preserve">*</w:t>
      </w:r>
      <w:bookmarkEnd w:id="8"/>
      <w:r>
        <w:t xml:space="preserve">)</w:t>
      </w:r>
      <w:r>
        <w:tab/>
      </w:r>
      <w:r>
        <w:t xml:space="preserve">Framseld reglugerð framkvæmdastjórnarinnar (ESB) 2017/565 frá 25. apríl 2016 um viðbætur við tilskipun Evrópuþingsins og ráðsins 2014/65/ESB að því er varðar skipulagskröfur og rekstrarskilyrði verðbréfafyrirtækja og hugtök sem skilgreind eru að því er varðar þá tilskipun (Stjtíð. ESB L 87, 31.3.2017, bls. 1).“</w:t>
      </w:r>
    </w:p>
    <w:p>
      <w:pPr>
        <w:pStyle w:val="NumberedText"/>
        <w:tabs>
          <w:tab w:val="clear" w:pos="2047"/>
        </w:tabs>
        <w:ind w:left="383" w:hanging="383"/>
      </w:pPr>
      <w:r>
        <w:t xml:space="preserve">6)</w:t>
      </w:r>
      <w:r>
        <w:tab/>
      </w:r>
      <w:r>
        <w:t xml:space="preserve">Eftirfarandi málsgrein bætist við í 20. gr.:</w:t>
      </w:r>
    </w:p>
    <w:p>
      <w:pPr>
        <w:pStyle w:val="AlineaWithParag"/>
        <w:tabs>
          <w:tab w:val="left" w:pos="783"/>
        </w:tabs>
        <w:ind w:left="383"/>
      </w:pPr>
      <w:r>
        <w:t xml:space="preserve">„6a.</w:t>
      </w:r>
      <w:r>
        <w:tab/>
      </w:r>
      <w:r>
        <w:t xml:space="preserve">Þrátt fyrir 2. og 4. mgr. skal stytta tímamörkin sem sett eru fram í fyrstu undirgrein 2. mgr. og 4. mgr. í sjö virka daga að því er varðar ESB-endurbótalýsingu.</w:t>
      </w:r>
      <w:r>
        <w:t xml:space="preserve"> </w:t>
      </w:r>
      <w:r>
        <w:t xml:space="preserve">Útgefandinn skal gera lögbæra yfirvaldinu viðvart a.m.k. fimm virkum dögum fyrir þann dag sem fyrirhugað er að leggja fram umsókn um staðfestingu.“</w:t>
      </w:r>
    </w:p>
    <w:p>
      <w:pPr>
        <w:pStyle w:val="NumberedText"/>
        <w:tabs>
          <w:tab w:val="clear" w:pos="2047"/>
        </w:tabs>
        <w:ind w:left="383" w:hanging="383"/>
      </w:pPr>
      <w:r>
        <w:t xml:space="preserve">7)</w:t>
      </w:r>
      <w:r>
        <w:tab/>
      </w:r>
      <w:r>
        <w:t xml:space="preserve">Eftirfarandi málsgrein bætist við í 21. gr.:</w:t>
      </w:r>
    </w:p>
    <w:p>
      <w:pPr>
        <w:pStyle w:val="AlineaWithParag"/>
        <w:tabs>
          <w:tab w:val="left" w:pos="783"/>
        </w:tabs>
        <w:ind w:left="383"/>
      </w:pPr>
      <w:r>
        <w:t xml:space="preserve">„5a.</w:t>
      </w:r>
      <w:r>
        <w:tab/>
      </w:r>
      <w:r>
        <w:t xml:space="preserve">ESB-endurbótalýsingar skal flokka í geymslukerfinu sem um getur í 6. mgr. þessarar greinar.</w:t>
      </w:r>
      <w:r>
        <w:t xml:space="preserve"> </w:t>
      </w:r>
      <w:r>
        <w:t xml:space="preserve">Gögnin sem notuð eru til að flokka lýsingar sem eru samdar í samræmi við 14. gr. má nota til að flokka ESB-endurbótalýsingar sem eru samdar í samræmi við 14. gr. a, að því tilskildu að gerður sé greinarmunur á gerðunum tveimur af lýsingunni í geymslukerfinu.“</w:t>
      </w:r>
    </w:p>
    <w:p>
      <w:pPr>
        <w:pStyle w:val="NumberedText"/>
        <w:tabs>
          <w:tab w:val="clear" w:pos="2047"/>
        </w:tabs>
        <w:ind w:left="383" w:hanging="383"/>
      </w:pPr>
      <w:r>
        <w:t xml:space="preserve">8)</w:t>
      </w:r>
      <w:r>
        <w:tab/>
      </w:r>
      <w:r>
        <w:t xml:space="preserve">Ákvæðum 23. gr. er breytt sem hér segir:</w:t>
      </w:r>
    </w:p>
    <w:p>
      <w:pPr>
        <w:pStyle w:val="NumberedText"/>
        <w:ind w:left="667" w:hanging="283"/>
      </w:pPr>
      <w:r>
        <w:t xml:space="preserve">a)</w:t>
      </w:r>
      <w:r>
        <w:tab/>
      </w:r>
      <w:r>
        <w:t xml:space="preserve">Eftirfarandi málsgrein bætist við:</w:t>
      </w:r>
    </w:p>
    <w:p>
      <w:pPr>
        <w:pStyle w:val="AlineaWithParag"/>
        <w:tabs>
          <w:tab w:val="left" w:pos="1067"/>
        </w:tabs>
        <w:ind w:left="667"/>
      </w:pPr>
      <w:r>
        <w:t xml:space="preserve">„2a.</w:t>
      </w:r>
      <w:r>
        <w:tab/>
      </w:r>
      <w:r>
        <w:t xml:space="preserve">Þrátt fyrir 2. mgr., gildir frá 18. mars 2021 til 31. desember 2022, að varði lýsingin almennt útboð skulu fjárfestar sem hafa þegar samþykkt að kaupa eða skrá sig fyrir verðbréfunum áður en viðaukinn er birtur hafa rétt til að afturkalla samþykki sitt innan þriggja virkra daga frá birtingu viðaukans, að því tilskildu að viðkomandi mikilvægar nýjar upplýsingar, veigamikil mistök eða ónákvæmni sem um getur í 1. mgr. hafi komið fram eða uppgötvast fyrir lok útboðstímabilsins eða afhendingu verðbréfanna, hvort heldur sem gerist fyrr.</w:t>
      </w:r>
      <w:r>
        <w:t xml:space="preserve"> </w:t>
      </w:r>
      <w:r>
        <w:t xml:space="preserve">Þetta tímabil getur útgefandinn eða tilboðsgjafinn framlengt.</w:t>
      </w:r>
      <w:r>
        <w:t xml:space="preserve"> </w:t>
      </w:r>
      <w:r>
        <w:t xml:space="preserve">Tilgreina ber lokadag réttar til afturköllunar samþykkis í viðaukanum.</w:t>
      </w:r>
    </w:p>
    <w:p>
      <w:pPr>
        <w:pStyle w:val="Alinea"/>
        <w:ind w:left="667"/>
      </w:pPr>
      <w:r>
        <w:t xml:space="preserve">Í viðaukanum skal vera áberandi yfirlýsing um rétt til afturköllunar samþykkis sem tilgreinir með skýrum hætti:</w:t>
      </w:r>
    </w:p>
    <w:p>
      <w:pPr>
        <w:pStyle w:val="NumberedText"/>
        <w:ind w:left="961" w:hanging="293"/>
      </w:pPr>
      <w:r>
        <w:t xml:space="preserve">a)</w:t>
      </w:r>
      <w:r>
        <w:tab/>
      </w:r>
      <w:r>
        <w:t xml:space="preserve">að réttur til afturköllunar samþykkis sé aðeins veittur þeim fjárfestum sem höfðu þegar samþykkt að kaupa eða skrá sig fyrir verðbréfunum áður en viðaukinn var birtur og sem verðbréfin höfðu ekki verið afhent fjárfestunum þegar viðkomandi mikilvægar nýjar upplýsingar, veigamikil mistök eða ónákvæmni komu fram eða uppgötvuðust,</w:t>
      </w:r>
    </w:p>
    <w:p>
      <w:pPr>
        <w:pStyle w:val="NumberedText"/>
        <w:ind w:left="961" w:hanging="293"/>
      </w:pPr>
      <w:r>
        <w:t xml:space="preserve">b)</w:t>
      </w:r>
      <w:r>
        <w:tab/>
      </w:r>
      <w:r>
        <w:t xml:space="preserve">á hvaða tímabili fjárfestar geta neytt réttar síns til afturköllunar, og</w:t>
      </w:r>
    </w:p>
    <w:p>
      <w:pPr>
        <w:pStyle w:val="NumberedText"/>
        <w:spacing w:after="0"/>
        <w:ind w:left="961" w:hanging="293"/>
      </w:pPr>
      <w:r>
        <w:t xml:space="preserve">c)</w:t>
      </w:r>
      <w:r>
        <w:tab/>
      </w:r>
      <w:r>
        <w:t xml:space="preserve">hverja fjárfestar geta haft samband við ef þeir vilja neyta réttar síns til afturköllunar.“</w:t>
      </w:r>
      <w:r>
        <w:br w:type="page"/>
      </w:r>
    </w:p>
    <w:p>
      <w:pPr>
        <w:pStyle w:val="NumberedText"/>
        <w:ind w:left="667" w:hanging="283"/>
      </w:pPr>
      <w:r>
        <w:t xml:space="preserve">b)</w:t>
      </w:r>
      <w:r>
        <w:tab/>
      </w:r>
      <w:r>
        <w:t xml:space="preserve">Eftirfarandi málsgrein bætist við:</w:t>
      </w:r>
    </w:p>
    <w:p>
      <w:pPr>
        <w:pStyle w:val="AlineaWithParag"/>
        <w:tabs>
          <w:tab w:val="left" w:pos="1067"/>
        </w:tabs>
        <w:ind w:left="667"/>
      </w:pPr>
      <w:r>
        <w:t xml:space="preserve">„3a.</w:t>
      </w:r>
      <w:r>
        <w:tab/>
      </w:r>
      <w:r>
        <w:t xml:space="preserve">Þrátt fyrir 3. mgr., frá 18. mars 2021 til 31. desember 2022, ef fjárfestar kaupa eða skrá sig fyrir verðbréfum fyrir milligöngu fjármálamilliliðs milli þess tíma þegar lýsingin fyrir þessi verðbréf er staðfest og þegar frumútboðstíminn rann út, skal sá fjármálamilliliður upplýsa þá fjárfesta um að viðauki verði mögulega birtur, hvar og hvenær hann yrði birtur og að fjármálamilliliðurinn myndi aðstoða þá við nýta rétt sinn til að afturkalla samþykki í slíku tilviki.</w:t>
      </w:r>
    </w:p>
    <w:p>
      <w:pPr>
        <w:pStyle w:val="Alinea"/>
        <w:ind w:left="667"/>
      </w:pPr>
      <w:r>
        <w:t xml:space="preserve">Ef fjárfestarnir sem um getur í fyrstu undirgrein þessarar málsgreinar eiga rétt til afturköllunar sem um getur í 2. mgr. a, skal fjármálamilliliðurinn hafa samband við þá fjárfesta fyrir lok fyrsta virka dags eftir þann dag þegar viðaukinn er birtur.</w:t>
      </w:r>
    </w:p>
    <w:p>
      <w:pPr>
        <w:pStyle w:val="Alinea"/>
        <w:ind w:left="667"/>
      </w:pPr>
      <w:r>
        <w:t xml:space="preserve">Séu verðbréfin keypt, eða ef einhver skráir sig fyrir þeim, beint hjá útgefanda skal útgefandinn upplýsa fjárfesta um möguleikann á að viðauki verði birtur og hvar hann yrði birtur og að í slíku tilviki gætu þeir átt rétt til að afturkalla samþykkið.“</w:t>
      </w:r>
    </w:p>
    <w:p>
      <w:pPr>
        <w:pStyle w:val="NumberedText"/>
        <w:tabs>
          <w:tab w:val="clear" w:pos="2047"/>
        </w:tabs>
        <w:ind w:left="383" w:hanging="383"/>
      </w:pPr>
      <w:r>
        <w:t xml:space="preserve">9)</w:t>
      </w:r>
      <w:r>
        <w:tab/>
      </w:r>
      <w:r>
        <w:t xml:space="preserve">Eftirfarandi grein bætist við:</w:t>
      </w:r>
    </w:p>
    <w:p>
      <w:pPr>
        <w:pStyle w:val="TIARTquoted"/>
        <w:ind w:left="383"/>
      </w:pPr>
      <w:r>
        <w:t xml:space="preserve">„47. gr. a</w:t>
      </w:r>
    </w:p>
    <w:p>
      <w:pPr>
        <w:pStyle w:val="STIARTquoted"/>
        <w:ind w:left="383"/>
      </w:pPr>
      <w:r>
        <w:t xml:space="preserve">Tímamörk fyrirkomulags ESB-endurbótalýsinga</w:t>
      </w:r>
    </w:p>
    <w:p>
      <w:pPr>
        <w:pStyle w:val="Alinea"/>
        <w:ind w:left="383"/>
      </w:pPr>
      <w:r>
        <w:t xml:space="preserve">Fyrirkomulag ESB-endurbótalýsinga sem sett er fram í 7. gr. (12. mgr. a), 14. gr. a, 20. gr. (6 mgr. a) og 21. gr. (5. mgr. a) rennur út 31. desember 2022.</w:t>
      </w:r>
    </w:p>
    <w:p>
      <w:pPr>
        <w:pStyle w:val="Alinea"/>
        <w:ind w:left="383"/>
      </w:pPr>
      <w:r>
        <w:t xml:space="preserve">ESB-endurbótalýsingar sem eru staðfestar milli 18. mars 2021 og 31. desember 2022 skulu áfram lúta 14. gr. a til loka gildistíma þeirra eða þar til 12 mánuðir eru liðnir eftir 31. desember 2022, hvort heldur gerist fyrr.“</w:t>
      </w:r>
    </w:p>
    <w:p>
      <w:pPr>
        <w:pStyle w:val="NumberedText"/>
        <w:tabs>
          <w:tab w:val="right" w:pos="239"/>
        </w:tabs>
        <w:ind w:left="383" w:hanging="383"/>
      </w:pPr>
      <w:r>
        <w:tab/>
      </w:r>
      <w:r>
        <w:t xml:space="preserve">10)</w:t>
      </w:r>
      <w:r>
        <w:tab/>
      </w:r>
      <w:r>
        <w:t xml:space="preserve">Eftirfarandi kemur í stað 2. mgr. 48. gr.:</w:t>
      </w:r>
    </w:p>
    <w:p>
      <w:pPr>
        <w:pStyle w:val="AlineaWithParag"/>
        <w:tabs>
          <w:tab w:val="left" w:pos="783"/>
        </w:tabs>
        <w:ind w:left="383"/>
      </w:pPr>
      <w:r>
        <w:t xml:space="preserve">„2</w:t>
      </w:r>
      <w:r>
        <w:tab/>
      </w:r>
      <w:r>
        <w:t xml:space="preserve">Skýrslan skal m.a. hafa að geyma mat á því hvort samantekt lýsingar, það fyrirkomulag upplýsingagjafar sem lýst er í 14. gr. 14. gr. a og 15. gr. og almenna útgefandalýsingin sem um getur í 9. gr. séu áfram viðeigandi í ljósi markmiða þeirra.</w:t>
      </w:r>
      <w:r>
        <w:t xml:space="preserve"> </w:t>
      </w:r>
      <w:r>
        <w:t xml:space="preserve">Einkum skal skýrslan hafa að geyma eftirfarandi:</w:t>
      </w:r>
    </w:p>
    <w:p>
      <w:pPr>
        <w:pStyle w:val="NumberedText"/>
        <w:ind w:left="677" w:hanging="293"/>
      </w:pPr>
      <w:r>
        <w:t xml:space="preserve">a)</w:t>
      </w:r>
      <w:r>
        <w:tab/>
      </w:r>
      <w:r>
        <w:t xml:space="preserve">upplýsingar um fjölda ESB-vaxtarlýsinga aðila í hverjum þeirra flokka sem um getur í a- til d-lið 1. mgr. 15. gr. og greiningu á þróun þess fjölda og þróun í vali á viðskiptavettvangi meðal aðila sem er heimilt að nota ESB-vaxtarlýsingar,</w:t>
      </w:r>
    </w:p>
    <w:p>
      <w:pPr>
        <w:pStyle w:val="NumberedText"/>
        <w:ind w:left="677" w:hanging="293"/>
      </w:pPr>
      <w:r>
        <w:t xml:space="preserve">b)</w:t>
      </w:r>
      <w:r>
        <w:tab/>
      </w:r>
      <w:r>
        <w:t xml:space="preserve">greiningu á því hvort ESB-vaxtarlýsingar tryggi eðlilegt jafnvægi milli fjárfestaverndar og þarfarinnar á að draga úr stjórnsýslubyrði þeirra aðila sem er heimilt að nota hana,</w:t>
      </w:r>
    </w:p>
    <w:p>
      <w:pPr>
        <w:pStyle w:val="NumberedText"/>
        <w:ind w:left="677" w:hanging="293"/>
      </w:pPr>
      <w:r>
        <w:t xml:space="preserve">c)</w:t>
      </w:r>
      <w:r>
        <w:tab/>
      </w:r>
      <w:r>
        <w:t xml:space="preserve">fjölda ESB-endurbótalýsinga sem hafa verið staðfestar og greiningu á þróun slíks fjölda, svo og mat á raunverulegu viðbótarmarkaðsverðmæti sem ESB-endurbótalýsing virkjar á útgáfudegi til að afla reynslu um ESB-endurbótalýsingu fyrir mat síðar,</w:t>
      </w:r>
    </w:p>
    <w:p>
      <w:pPr>
        <w:pStyle w:val="NumberedText"/>
        <w:ind w:left="677" w:hanging="293"/>
      </w:pPr>
      <w:r>
        <w:t xml:space="preserve">d)</w:t>
      </w:r>
      <w:r>
        <w:tab/>
      </w:r>
      <w:r>
        <w:t xml:space="preserve">kostnaðinn við að undirbúa og fá ESB-endurbótalýsingu staðfesta samanborið við rekstrarútgjöld við undirbúning og staðfestingu staðlaðrar lýsingar, síðari útgáfu lýsingar og ESB-vaxtarlýsingar, ásamt vísbendingu um heildar fjárhagslegan sparnað sem hefur náðst og lækkun kostnaðar sem hefur náðst og mögulega frekari lækkun kostnaðar og heildarkostnaður við að fara að þessari reglugerð fyrir útgefendur, tilboðsgjafa og fjármálamilliliði ásamt útreikningi á þessum kostnaði sem hundraðshluti af rekstrarkostnaði,</w:t>
      </w:r>
    </w:p>
    <w:p>
      <w:pPr>
        <w:pStyle w:val="NumberedText"/>
        <w:spacing w:after="0"/>
        <w:ind w:left="677" w:hanging="293"/>
      </w:pPr>
      <w:r>
        <w:t xml:space="preserve">e)</w:t>
      </w:r>
      <w:r>
        <w:tab/>
      </w:r>
      <w:r>
        <w:t xml:space="preserve">greiningu á því hvort ESB-endurbótalýsing tryggi eðlilegt jafnvægi milli fjárfestaverndar og þarfarinnar á að draga úr stjórnsýslubyrði þeirra aðila sem heimilt er að nota hana og á aðgengileika að nauðsynlegum upplýsingum fyrir fjárfestingar,</w:t>
      </w:r>
    </w:p>
    <w:p>
      <w:pPr>
        <w:pStyle w:val="NumberedText"/>
        <w:ind w:left="677" w:hanging="293"/>
        <w:sectPr>
          <w:headerReference w:type="default" r:id="rId8"/>
          <w:footnotePr>
            <w:pos w:val="beneathText"/>
            <w:numRestart w:val="eachSect"/>
          </w:footnotePr>
          <w:type w:val="continuous"/>
          <w:pgSz w:w="11906" w:h="16838" w:code="9"/>
          <w:pgMar w:top="1680" w:right="1333" w:bottom="840" w:left="1333" w:header="920" w:footer="280" w:gutter="0"/>
          <w:cols w:space="708"/>
          <w:vAlign w:val="both"/>
          <w:docGrid w:linePitch="360"/>
        </w:sectPr>
      </w:pPr>
    </w:p>
    <w:p>
      <w:pPr>
        <w:pStyle w:val="NumberedText"/>
        <w:ind w:left="677" w:hanging="293"/>
      </w:pPr>
      <w:r>
        <w:t xml:space="preserve">f)</w:t>
      </w:r>
      <w:r>
        <w:tab/>
      </w:r>
      <w:r>
        <w:t xml:space="preserve">greiningu á því hvort viðeigandi væri að framlengja fyrirkomulag ESB-endurbótalýsinga, m.a. hvort viðmiðunarmörkin, sem um getur í annarri undirgrein 1. mgr. 14. gr. a, þar sem ekki má nota ESB-endurbótalýsingu umfram þau, séu viðeigandi,</w:t>
      </w:r>
    </w:p>
    <w:p>
      <w:pPr>
        <w:pStyle w:val="NumberedText"/>
        <w:ind w:left="677" w:hanging="293"/>
      </w:pPr>
      <w:r>
        <w:t xml:space="preserve">g)</w:t>
      </w:r>
      <w:r>
        <w:tab/>
      </w:r>
      <w:r>
        <w:t xml:space="preserve">greiningu á því hvort ráðstafanirnar sem mælt er fyrir um í 2. mgr. a í 23. gr. og 3. mgr. a í 23. gr. hafi náð því markmiði að veita frekari skýrleika og sveigjanleika fyrir bæði fjármálamilliliði og fjárfesta og hvort viðeigandi væri að þessar ráðstafanir væru varanlegar.“</w:t>
      </w:r>
    </w:p>
    <w:p>
      <w:pPr>
        <w:pStyle w:val="NumberedText"/>
        <w:tabs>
          <w:tab w:val="right" w:pos="239"/>
        </w:tabs>
        <w:ind w:left="383" w:hanging="383"/>
      </w:pPr>
      <w:r>
        <w:tab/>
      </w:r>
      <w:r>
        <w:t xml:space="preserve">11)</w:t>
      </w:r>
      <w:r>
        <w:tab/>
      </w:r>
      <w:r>
        <w:t xml:space="preserve">texti viðaukans við þessa reglugerð bætist við sem V. viðauki a.</w:t>
      </w:r>
    </w:p>
    <w:p>
      <w:pPr>
        <w:pStyle w:val="TIART"/>
      </w:pPr>
      <w:r>
        <w:t xml:space="preserve">2. gr.</w:t>
      </w:r>
    </w:p>
    <w:p>
      <w:pPr>
        <w:pStyle w:val="STIART"/>
      </w:pPr>
      <w:r>
        <w:t xml:space="preserve">Breyting á tilskipun 2004/109/EB</w:t>
      </w:r>
    </w:p>
    <w:p>
      <w:pPr>
        <w:pStyle w:val="Alinea"/>
      </w:pPr>
      <w:r>
        <w:t xml:space="preserve">Í stað fyrstu undirgreinar 7. mgr. 4. gr. kemur eftirfarandi:</w:t>
      </w:r>
    </w:p>
    <w:p>
      <w:pPr>
        <w:pStyle w:val="AlineaWithParag"/>
      </w:pPr>
      <w:r>
        <w:t xml:space="preserve">„7.</w:t>
      </w:r>
      <w:r>
        <w:tab/>
      </w:r>
      <w:r>
        <w:t xml:space="preserve">Að því er varðar fjárhagsár sem byrja 1. janúar 2020 eða síðar skulu öll árleg reikningsskil gerð á sameiginlegu rafrænu skýrslusniði að því tilskildu að evrópska eftirlitsstofnunin (Evrópska verðbréfamarkaðseftirlitsstofnunin), sem komið var á fót með reglugerð Evrópuþingsins og ráðsins (ESB) nr. 1095/2010, hafi gert kostnaðar- og ábatagreiningu (</w:t>
      </w:r>
      <w:r>
        <w:fldChar w:fldCharType="begin" w:dirty="true"/>
      </w:r>
      <w:r>
        <w:instrText xml:space="preserve"> REF NOTE_10 \h  \* MERGEFORMAT </w:instrText>
      </w:r>
      <w:r>
        <w:fldChar w:fldCharType="separate"/>
      </w:r>
      <w:r>
        <w:t>*</w:t>
      </w:r>
      <w:r>
        <w:fldChar w:fldCharType="end"/>
      </w:r>
      <w:r>
        <w:t xml:space="preserve">).</w:t>
      </w:r>
      <w:r>
        <w:t xml:space="preserve"> </w:t>
      </w:r>
      <w:r>
        <w:t xml:space="preserve">Aðildarríki getur þó leyft útgefendum að beita þeirri skýrslugjafarkröfu fyrir fjárhagsár sem hefjast 1. janúar 2021 eða síðar, að því tilskildu að aðildarríkið tilkynni framkvæmdastjórninni, eigi síðar en 19. mars 2021, um þá fyrirætlan sína að heimila slíka töf og að fyrirætlan þess sé rökstudd á tilhlýðilegan hátt.</w:t>
      </w:r>
    </w:p>
    <w:p>
      <w:pPr>
        <w:pStyle w:val="QuoteFootnoteRule"/>
        <w:pBdr>
          <w:bottom w:val="none" w:sz="0" w:space="0" w:color="auto"/>
        </w:pBdr>
        <w:tabs>
          <w:tab w:val="left" w:pos="1440"/>
        </w:tabs>
        <w:ind w:right="0"/>
        <w:rPr>
          <w:u w:val="single"/>
        </w:rPr>
      </w:pPr>
      <w:r>
        <w:rPr>
          <w:u w:val="single"/>
        </w:rPr>
        <w:tab/>
      </w:r>
    </w:p>
    <w:p>
      <w:pPr>
        <w:pStyle w:val="NumberedText"/>
        <w:ind w:left="303" w:hanging="303"/>
      </w:pPr>
      <w:r>
        <w:t xml:space="preserve">(</w:t>
      </w:r>
      <w:bookmarkStart w:id="9" w:name="NOTE_10"/>
      <w:r>
        <w:t xml:space="preserve">*</w:t>
      </w:r>
      <w:bookmarkEnd w:id="9"/>
      <w:r>
        <w:t xml:space="preserve">)</w:t>
      </w:r>
      <w:r>
        <w:tab/>
      </w:r>
      <w:r>
        <w:t xml:space="preserve">Reglugerð Evrópuþingsins og ráðsins (ESB) nr. 1095/2010 frá 24. nóvember 2010 um að koma á fót evrópskri eftirlitsstofnun (Evrópska verðbréfamarkaðseftirlitsstofnunin), um breytingu á ákvörðun nr. 716/2009/EB og um niðurfellingu á ákvörðun framkvæmdastjórnarinnar 2009/77/EB (Stjtíð. ESB L 331, 15.12.2010, bls. 84).“.</w:t>
      </w:r>
    </w:p>
    <w:p>
      <w:pPr>
        <w:pStyle w:val="TIART"/>
      </w:pPr>
      <w:r>
        <w:t xml:space="preserve">3. gr.</w:t>
      </w:r>
    </w:p>
    <w:p>
      <w:pPr>
        <w:pStyle w:val="STIART"/>
      </w:pPr>
      <w:r>
        <w:t xml:space="preserve">Gildistaka og framkvæmd</w:t>
      </w:r>
    </w:p>
    <w:p>
      <w:pPr>
        <w:pStyle w:val="Alinea"/>
        <w:spacing w:after="600"/>
      </w:pPr>
      <w:r>
        <w:t xml:space="preserve">Reglugerð þessi öðlast gildi á tuttugasta degi eftir að hún birtist í </w:t>
      </w:r>
      <w:r>
        <w:rPr>
          <w:i/>
          <w:iCs/>
        </w:rPr>
        <w:t xml:space="preserve">Stjórnartíðindum Evrópusambandsins</w:t>
      </w:r>
      <w:r>
        <w:t xml:space="preserve">.</w:t>
      </w:r>
    </w:p>
    <w:p>
      <w:pPr>
        <w:pStyle w:val="Final"/>
        <w:spacing w:after="300"/>
        <w:ind w:left="1020"/>
      </w:pPr>
      <w:r>
        <w:t xml:space="preserve">Reglugerð þessi er bindandi í heild sinni og gildir í öllum aðildarríkjunum án frekari lögfestingar.</w:t>
      </w:r>
    </w:p>
    <w:p>
      <w:pPr>
        <w:pStyle w:val="Final"/>
        <w:spacing w:after="400"/>
        <w:ind w:left="1020"/>
      </w:pPr>
      <w:r>
        <w:t xml:space="preserve">Gjört í Brussel 16. febrúar 2021.</w:t>
      </w:r>
    </w:p>
    <w:tbl>
      <w:tblPr>
        <w:tblW w:w="7908" w:type="dxa"/>
        <w:tblInd w:w="670" w:type="dxa"/>
        <w:tblLook w:val="04A0" w:firstRow="1" w:lastRow="0" w:firstColumn="1" w:lastColumn="0" w:noHBand="0" w:noVBand="1"/>
      </w:tblPr>
      <w:tblGrid>
        <w:gridCol w:w="3954"/>
        <w:gridCol w:w="3954"/>
      </w:tblGrid>
      <w:tr>
        <w:trPr>
          <w:trHeight w:val="360"/>
        </w:trPr>
        <w:tc>
          <w:tcPr>
            <w:tcW w:w="3954" w:type="dxa"/>
            <w:vMerge w:val="restart"/>
          </w:tcPr>
          <w:p>
            <w:pPr>
              <w:pStyle w:val="Signatory"/>
              <w:spacing w:after="120"/>
            </w:pPr>
            <w:r>
              <w:rPr>
                <w:i/>
              </w:rPr>
              <w:t xml:space="preserve">Fyrir hönd Evrópuþingsins,</w:t>
            </w:r>
          </w:p>
          <w:p>
            <w:pPr>
              <w:pStyle w:val="SignatorySmall"/>
              <w:spacing w:after="120"/>
              <w:rPr>
                <w:caps/>
              </w:rPr>
            </w:pPr>
            <w:r>
              <w:t xml:space="preserve">D. M. SASSOLI</w:t>
            </w:r>
          </w:p>
          <w:p>
            <w:pPr>
              <w:pStyle w:val="Signatory"/>
              <w:spacing w:after="120"/>
            </w:pPr>
            <w:r>
              <w:rPr>
                <w:i/>
              </w:rPr>
              <w:t xml:space="preserve">forseti.</w:t>
            </w:r>
          </w:p>
        </w:tc>
        <w:tc>
          <w:tcPr>
            <w:tcW w:w="3954" w:type="dxa"/>
            <w:vMerge w:val="restart"/>
          </w:tcPr>
          <w:p>
            <w:pPr>
              <w:pStyle w:val="Signatory"/>
              <w:spacing w:after="120"/>
            </w:pPr>
            <w:r>
              <w:rPr>
                <w:i/>
              </w:rPr>
              <w:t xml:space="preserve">Fyrir hönd ráðsins,</w:t>
            </w:r>
          </w:p>
          <w:p>
            <w:pPr>
              <w:pStyle w:val="SignatorySmall"/>
              <w:spacing w:after="120"/>
              <w:rPr>
                <w:caps/>
              </w:rPr>
            </w:pPr>
            <w:r>
              <w:t xml:space="preserve">A. P. </w:t>
            </w:r>
            <w:r>
              <w:rPr>
                <w:caps/>
              </w:rPr>
              <w:t xml:space="preserve">ZACARIAS</w:t>
            </w:r>
          </w:p>
          <w:p>
            <w:pPr>
              <w:pStyle w:val="Signatory"/>
              <w:spacing w:after="120"/>
            </w:pPr>
            <w:r>
              <w:rPr>
                <w:i/>
              </w:rPr>
              <w:t xml:space="preserve">Forseti</w:t>
            </w:r>
          </w:p>
        </w:tc>
      </w:tr>
    </w:tbl>
    <w:p>
      <w:pPr>
        <w:pStyle w:val="line2"/>
        <w:pBdr>
          <w:bottom w:val="none" w:sz="0" w:space="0" w:color="auto"/>
        </w:pBdr>
        <w:tabs>
          <w:tab w:val="left" w:leader="underscore" w:pos="522"/>
        </w:tabs>
        <w:spacing w:before="300" w:after="5000"/>
        <w:ind w:left="0" w:right="0"/>
        <w:sectPr>
          <w:footnotePr>
            <w:numRestart w:val="eachSect"/>
          </w:footnotePr>
          <w:pgSz w:w="11906" w:h="16838" w:code="9"/>
          <w:pgMar w:top="1680" w:right="1333" w:bottom="840" w:left="1333" w:header="920" w:footer="280" w:gutter="0"/>
          <w:cols w:space="708"/>
          <w:docGrid w:linePitch="360"/>
        </w:sectPr>
      </w:pPr>
      <w:r>
        <w:tab/>
      </w:r>
    </w:p>
    <w:p>
      <w:pPr>
        <w:pStyle w:val="AnnexTI"/>
        <w:spacing w:after="360"/>
      </w:pPr>
      <w:r>
        <w:t xml:space="preserve">VIÐAUKI</w:t>
      </w:r>
    </w:p>
    <w:p>
      <w:pPr>
        <w:pStyle w:val="AnnexTI"/>
        <w:spacing w:after="360"/>
      </w:pPr>
      <w:r>
        <w:t xml:space="preserve">„V. VIÐAUKI a</w:t>
      </w:r>
    </w:p>
    <w:p>
      <w:pPr>
        <w:pStyle w:val="AnnexSTI"/>
        <w:spacing w:line="200" w:lineRule="exact"/>
        <w:rPr>
          <w:sz w:val="16"/>
          <w:szCs w:val="16"/>
        </w:rPr>
      </w:pPr>
      <w:r>
        <w:rPr>
          <w:sz w:val="16"/>
          <w:szCs w:val="16"/>
        </w:rPr>
        <w:t xml:space="preserve">LÁGMARKSUPPLÝSINGAR SEM EIGA AÐ VERA Í ESB-ENDURBÓTALÝSINGU</w:t>
      </w:r>
    </w:p>
    <w:p>
      <w:pPr>
        <w:pStyle w:val="AnnexNumberedText"/>
        <w:ind w:left="508" w:hanging="508"/>
      </w:pPr>
      <w:r>
        <w:t xml:space="preserve">I.</w:t>
      </w:r>
      <w:r>
        <w:tab/>
      </w:r>
      <w:r>
        <w:t xml:space="preserve">Samantekt</w:t>
      </w:r>
    </w:p>
    <w:p>
      <w:pPr>
        <w:pStyle w:val="AnnexNormal"/>
        <w:ind w:left="508"/>
      </w:pPr>
      <w:r>
        <w:t xml:space="preserve">ESB-endurbótalýsing verður að hafa að geyma samantekt sem tekin er saman í samræmi við 12. mgr. a í 7. gr.</w:t>
      </w:r>
    </w:p>
    <w:p>
      <w:pPr>
        <w:pStyle w:val="AnnexNumberedText"/>
        <w:ind w:left="508" w:hanging="508"/>
      </w:pPr>
      <w:r>
        <w:t xml:space="preserve">II.</w:t>
      </w:r>
      <w:r>
        <w:tab/>
      </w:r>
      <w:r>
        <w:t xml:space="preserve">Nafn útgefandans, landið þar sem fyrirtækið er stofnsett, tengill á vefsetur útgefanda.</w:t>
      </w:r>
    </w:p>
    <w:p>
      <w:pPr>
        <w:pStyle w:val="AnnexNormal"/>
        <w:ind w:left="508"/>
      </w:pPr>
      <w:r>
        <w:t xml:space="preserve">Tilgreina skal fyrirtækið sem gefur út hlutabréf, þ.m.t. auðkenni lögaðila, lögheiti og viðskiptaheiti, landið þar sem það er stofnsett og vefsetrið þar sem fjárfestar geta fundið upplýsingar um viðskiptastarfsemi fyrirtækisins, vörurnar sem það framleiðir eða þjónustuna sem það veitir, helstu markaði þar sem það á í samkeppni, helstu hluthafa, upplýsingar um hvernig stjórn, framkvæmdastjórn og eftirlitsnefnd félagsins og framkvæmdastjórn þess eru skipaðar og, ef við á, upplýsingar sem felldar eru inn með tilvísun (með fyrirvara um að upplýsingarnar á vefsetrinu séu ekki hluti af lýsingunni nema þær upplýsingar séu felldar inn í lýsinguna með tilvísun).</w:t>
      </w:r>
    </w:p>
    <w:p>
      <w:pPr>
        <w:pStyle w:val="AnnexNumberedText"/>
        <w:ind w:left="508" w:hanging="508"/>
      </w:pPr>
      <w:r>
        <w:t xml:space="preserve">III.</w:t>
      </w:r>
      <w:r>
        <w:tab/>
      </w:r>
      <w:r>
        <w:t xml:space="preserve">Ábyrgðaryfirlýsing og yfirlýsing um lögbæra yfirvaldið</w:t>
      </w:r>
    </w:p>
    <w:p>
      <w:pPr>
        <w:pStyle w:val="AnnexNumberedText"/>
        <w:ind w:left="908" w:hanging="400"/>
      </w:pPr>
      <w:r>
        <w:t xml:space="preserve">1.</w:t>
      </w:r>
      <w:r>
        <w:tab/>
      </w:r>
      <w:r>
        <w:t xml:space="preserve">Ábyrgðaryfirlýsing</w:t>
      </w:r>
    </w:p>
    <w:p>
      <w:pPr>
        <w:pStyle w:val="AnnexNormal"/>
        <w:ind w:left="908"/>
      </w:pPr>
      <w:r>
        <w:t xml:space="preserve">Tilgreina þá aðila sem bera ábyrgð á að taka saman ESB-endurbótalýsingu og fella inn yfirlýsingu frá þeim aðilum um að samkvæmt þeirra bestu vitund séu upplýsingarnar í endurbótalýsingunni í samræmi við staðreyndir og að engum upplýsingum sé sleppt úr henni sem gætu haft áhrif á áreiðanleika hennar.</w:t>
      </w:r>
    </w:p>
    <w:p>
      <w:pPr>
        <w:pStyle w:val="AnnexNormal"/>
        <w:ind w:left="908"/>
      </w:pPr>
      <w:r>
        <w:t xml:space="preserve">Yfirlýsingin skal, ef við á, innihalda upplýsingar frá þriðju aðilum, m.a. hvaðan upplýsingar þessar koma og yfirlýsingar eða skýrslur sem eru eignaðar aðila sem sérfræðingi og eftirfarandi upplýsingar um þann aðila:</w:t>
      </w:r>
    </w:p>
    <w:p>
      <w:pPr>
        <w:pStyle w:val="AnnexNumberedText"/>
        <w:ind w:left="1208" w:hanging="300"/>
      </w:pPr>
      <w:r>
        <w:t xml:space="preserve">a)</w:t>
      </w:r>
      <w:r>
        <w:tab/>
      </w:r>
      <w:r>
        <w:t xml:space="preserve">nafn,</w:t>
      </w:r>
    </w:p>
    <w:p>
      <w:pPr>
        <w:pStyle w:val="AnnexNumberedText"/>
        <w:ind w:left="1208" w:hanging="300"/>
      </w:pPr>
      <w:r>
        <w:t xml:space="preserve">b)</w:t>
      </w:r>
      <w:r>
        <w:tab/>
      </w:r>
      <w:r>
        <w:t xml:space="preserve">heimilisfang starfsstöðvar,</w:t>
      </w:r>
    </w:p>
    <w:p>
      <w:pPr>
        <w:pStyle w:val="AnnexNumberedText"/>
        <w:ind w:left="1208" w:hanging="300"/>
      </w:pPr>
      <w:r>
        <w:t xml:space="preserve">c)</w:t>
      </w:r>
      <w:r>
        <w:tab/>
      </w:r>
      <w:r>
        <w:t xml:space="preserve">menntun og hæfi, og</w:t>
      </w:r>
    </w:p>
    <w:p>
      <w:pPr>
        <w:pStyle w:val="AnnexNumberedText"/>
        <w:ind w:left="1208" w:hanging="300"/>
      </w:pPr>
      <w:r>
        <w:t xml:space="preserve">d)</w:t>
      </w:r>
      <w:r>
        <w:tab/>
      </w:r>
      <w:r>
        <w:t xml:space="preserve">verulegir hagsmunir sem hann á að gæta í útgefanda, ef einhverjir eru.</w:t>
      </w:r>
    </w:p>
    <w:p>
      <w:pPr>
        <w:pStyle w:val="AnnexNumberedText"/>
        <w:ind w:left="908" w:hanging="400"/>
      </w:pPr>
      <w:r>
        <w:t xml:space="preserve">2.</w:t>
      </w:r>
      <w:r>
        <w:tab/>
      </w:r>
      <w:r>
        <w:t xml:space="preserve">Yfirlýsing um lögbæra yfirvaldið</w:t>
      </w:r>
    </w:p>
    <w:p>
      <w:pPr>
        <w:pStyle w:val="AnnexNormal"/>
        <w:ind w:left="908"/>
      </w:pPr>
      <w:r>
        <w:t xml:space="preserve">Í yfirlýsingunni verður að tilgreina lögbæra yfirvaldið sem hefur staðfest ESB-endurbótalýsinguna, í samræmi við reglugerð þessa, tilgreina að slík staðfesting feli hvorki í sér stuðning við útgefandann né gæði hlutabréfanna sem ESB-endurbótalýsing tengist, að lögbæra yfirvaldið hafi aðeins staðfest ESB-endurbótalýsingu ef hún uppfyllir kröfur um að vera fullnægjandi, skiljanleg og samkvæm sem felast í þessari reglugerð og tilgreina að ESB-endurbótalýsing hafi verið samin í samræmi við 14. gr. a.</w:t>
      </w:r>
    </w:p>
    <w:p>
      <w:pPr>
        <w:pStyle w:val="AnnexNumberedText"/>
        <w:ind w:left="508" w:hanging="508"/>
      </w:pPr>
      <w:r>
        <w:t xml:space="preserve">IV.</w:t>
      </w:r>
      <w:r>
        <w:tab/>
      </w:r>
      <w:r>
        <w:t xml:space="preserve">Áhættuþættir</w:t>
      </w:r>
    </w:p>
    <w:p>
      <w:pPr>
        <w:pStyle w:val="AnnexNormal"/>
        <w:ind w:left="508"/>
      </w:pPr>
      <w:r>
        <w:t xml:space="preserve">Lýsing á verulegri áhættu sem er sértæk fyrir útgefandann og lýsing á verulegri áhættu sem er sértæk fyrir hlutabréfin sem almenningi stendur til boða og/eða eru tekin til viðskipta á skipulegum markaði, í takmörkuðum fjölda flokka, í bálki með fyrirsögnina „Áhættuþættir“.</w:t>
      </w:r>
    </w:p>
    <w:p>
      <w:pPr>
        <w:pStyle w:val="AnnexNormal"/>
        <w:spacing w:after="0"/>
        <w:ind w:left="508"/>
      </w:pPr>
      <w:r>
        <w:t xml:space="preserve">Í hverjum flokki skal fyrst telja upp alvarlegustu áhættuþættina að mati útgefanda, tilboðsgjafa eða aðilans sem óskar eftir töku til viðskipta á skipulegum markaði, að teknu tilliti til neikvæðra áhrifa á útgefandann sem og á hlutabréfin sem boðin eru í almennu útboði og/eða tekin eru til viðskipta á skipulegum markaði og líkanna á að þeir raungerist.</w:t>
      </w:r>
      <w:r>
        <w:t xml:space="preserve"> </w:t>
      </w:r>
      <w:r>
        <w:t xml:space="preserve">Áhættuþættirnir skulu staðfestir með efni ESB-endurbótalýsingarinnar.</w:t>
      </w:r>
      <w:r>
        <w:br w:type="page"/>
      </w:r>
    </w:p>
    <w:p>
      <w:pPr>
        <w:pStyle w:val="AnnexNumberedText"/>
        <w:ind w:left="508" w:hanging="508"/>
      </w:pPr>
      <w:r>
        <w:t xml:space="preserve">V.</w:t>
      </w:r>
      <w:r>
        <w:tab/>
      </w:r>
      <w:r>
        <w:t xml:space="preserve">Reikningsskil</w:t>
      </w:r>
    </w:p>
    <w:p>
      <w:pPr>
        <w:pStyle w:val="AnnexNormal"/>
        <w:ind w:left="508"/>
      </w:pPr>
      <w:r>
        <w:t xml:space="preserve">ESB-endurbótalýsing verður að hafa að geyma reikningsskil (árleg reikningsskil og hálfsársreikningsskil) sem eru birt á 12 mánaða tímabili áður en ESB-endurbótalýsing er staðfest.</w:t>
      </w:r>
      <w:r>
        <w:t xml:space="preserve"> </w:t>
      </w:r>
      <w:r>
        <w:t xml:space="preserve">Hafi bæði árleg reikningsskil og hálfsársreikningsskil verið birt er aðeins gerð krafa um árlegu skilin ef þau eru dagsett síðar en hálfsársreikningsskilin.</w:t>
      </w:r>
    </w:p>
    <w:p>
      <w:pPr>
        <w:pStyle w:val="AnnexNormal"/>
        <w:ind w:left="508"/>
      </w:pPr>
      <w:r>
        <w:t xml:space="preserve">Endurskoða verður árlegu reikningsskilin með óháðum hætti.</w:t>
      </w:r>
      <w:r>
        <w:t xml:space="preserve"> </w:t>
      </w:r>
      <w:r>
        <w:t xml:space="preserve">Áritun endurskoðanda skal samin í samræmi við tilskipun Evrópuþingsins og ráðsins 2006/43/EB (</w:t>
      </w:r>
      <w:bookmarkStart w:id="10" w:name="NOTE_11"/>
      <w:r>
        <w:rPr>
          <w:rStyle w:val="FootnoteReference"/>
          <w:sz w:val="18"/>
        </w:rPr>
        <w:footnoteReference w:id="10"/>
      </w:r>
      <w:bookmarkEnd w:id="10"/>
      <w:r>
        <w:t xml:space="preserve">) og reglugerð Evrópuþingsins og ráðsins (ESB) nr. 537/2014 (</w:t>
      </w:r>
      <w:bookmarkStart w:id="11" w:name="NOTE_12"/>
      <w:r>
        <w:rPr>
          <w:rStyle w:val="FootnoteReference"/>
          <w:sz w:val="18"/>
        </w:rPr>
        <w:footnoteReference w:id="11"/>
      </w:r>
      <w:bookmarkEnd w:id="11"/>
      <w:r>
        <w:t xml:space="preserve">).</w:t>
      </w:r>
    </w:p>
    <w:p>
      <w:pPr>
        <w:pStyle w:val="AnnexNormal"/>
        <w:ind w:left="508"/>
      </w:pPr>
      <w:r>
        <w:t xml:space="preserve">Ef tilskipun 2006/43/EB og reglugerð (ESB) nr. 537/2014 eiga ekki við verður að endurskoða árlegu reikningsskilin eða tilkynna um hvort þau gefi, að því er varðar ESB-endurbótalýsinguna, sanna og trúverðuga mynd í samræmi við endurskoðunarstaðla sem gilda í aðildarríki eða jafngildan staðal.</w:t>
      </w:r>
      <w:r>
        <w:t xml:space="preserve"> </w:t>
      </w:r>
      <w:r>
        <w:t xml:space="preserve">Að öðrum kosti skal ESB-endurbótalýsingin hafa að geyma eftirfarandi upplýsingar:</w:t>
      </w:r>
    </w:p>
    <w:p>
      <w:pPr>
        <w:pStyle w:val="AnnexNumberedText"/>
        <w:ind w:left="802" w:hanging="293"/>
      </w:pPr>
      <w:r>
        <w:t xml:space="preserve">a)</w:t>
      </w:r>
      <w:r>
        <w:tab/>
      </w:r>
      <w:r>
        <w:t xml:space="preserve">áberandi yfirlýsingu þar sem tilgreint er hvaða endurskoðunarstöðlum var beitt,</w:t>
      </w:r>
    </w:p>
    <w:p>
      <w:pPr>
        <w:pStyle w:val="AnnexNumberedText"/>
        <w:ind w:left="802" w:hanging="293"/>
      </w:pPr>
      <w:r>
        <w:t xml:space="preserve">b)</w:t>
      </w:r>
      <w:r>
        <w:tab/>
      </w:r>
      <w:r>
        <w:t xml:space="preserve">skýringu á því ef vikið er verulega frá alþjóðlegum endurskoðunarstöðlum.</w:t>
      </w:r>
    </w:p>
    <w:p>
      <w:pPr>
        <w:pStyle w:val="AnnexNormal"/>
        <w:ind w:left="508"/>
      </w:pPr>
      <w:r>
        <w:t xml:space="preserve">Hafi löggiltir endurskoðendur synjað um áritun árlegra reikningsskila eða sé áritun þeirra með fyrirvara, breyttu áliti, án álits eða með ábendingum skal birta slíka synjun, fyrirvara, breytingar, áritanir án álits eða ábendingar í heild sinni og tilgreina ástæður þeirra.</w:t>
      </w:r>
    </w:p>
    <w:p>
      <w:pPr>
        <w:pStyle w:val="AnnexNormal"/>
        <w:ind w:left="508"/>
      </w:pPr>
      <w:r>
        <w:t xml:space="preserve">Lýsing á hvers konar mikilvægum breytingum á fjárhagsstöðu samstæðunnar sem hafa átt sér stað frá lokum síðasta fjárhagstímabils, sem annaðhvort endurskoðuð reikningsskil eða árshlutaupplýsingar hafa verið birt um, verður einnig að fylgja með, eða yfirlýsing um að slíkar breytingar hafi ekki átt sér stað verður að fylgja með.</w:t>
      </w:r>
    </w:p>
    <w:p>
      <w:pPr>
        <w:pStyle w:val="AnnexNormal"/>
        <w:ind w:left="508"/>
      </w:pPr>
      <w:r>
        <w:t xml:space="preserve">pro forma upplýsingar verða einnig að fylgja með, ef við á.</w:t>
      </w:r>
    </w:p>
    <w:p>
      <w:pPr>
        <w:pStyle w:val="AnnexNumberedText"/>
        <w:ind w:left="508" w:hanging="508"/>
      </w:pPr>
      <w:r>
        <w:t xml:space="preserve">VI.</w:t>
      </w:r>
      <w:r>
        <w:tab/>
      </w:r>
      <w:r>
        <w:t xml:space="preserve">Arðgreiðslustefna</w:t>
      </w:r>
    </w:p>
    <w:p>
      <w:pPr>
        <w:pStyle w:val="AnnexNormal"/>
        <w:ind w:left="508"/>
      </w:pPr>
      <w:r>
        <w:t xml:space="preserve">Lýsing á stefnu útgefanda um arðgreiðslur og hvers kyns takmörkunum á þeim, svo og á endurkaupum hlutabréfa.</w:t>
      </w:r>
    </w:p>
    <w:p>
      <w:pPr>
        <w:pStyle w:val="AnnexNumberedText"/>
        <w:ind w:left="508" w:hanging="508"/>
      </w:pPr>
      <w:r>
        <w:t xml:space="preserve">VII.</w:t>
      </w:r>
      <w:r>
        <w:tab/>
      </w:r>
      <w:r>
        <w:t xml:space="preserve">Upplýsingar um þróun</w:t>
      </w:r>
    </w:p>
    <w:p>
      <w:pPr>
        <w:pStyle w:val="AnnexNormal"/>
        <w:ind w:left="508"/>
      </w:pPr>
      <w:r>
        <w:t xml:space="preserve">Lýsing á:</w:t>
      </w:r>
    </w:p>
    <w:p>
      <w:pPr>
        <w:pStyle w:val="AnnexNumberedText"/>
        <w:ind w:left="802" w:hanging="293"/>
      </w:pPr>
      <w:r>
        <w:t xml:space="preserve">a)</w:t>
      </w:r>
      <w:r>
        <w:tab/>
      </w:r>
      <w:r>
        <w:t xml:space="preserve">upplýsingum um mikilvæga nýlega þróun í framleiðslu, sölu og birgðum, og kostnaðar- og söluverði frá lokum síðasta fjárhagsárs fram til dagsetningar ESB-endurbótalýsingarinnar,</w:t>
      </w:r>
    </w:p>
    <w:p>
      <w:pPr>
        <w:pStyle w:val="AnnexNumberedText"/>
        <w:ind w:left="802" w:hanging="293"/>
      </w:pPr>
      <w:r>
        <w:t xml:space="preserve">b)</w:t>
      </w:r>
      <w:r>
        <w:tab/>
      </w:r>
      <w:r>
        <w:t xml:space="preserve">upplýsingum um þekkta þróun, óvissuþætti, kröfur, skuldbindingar eða atburði sem búast má við að hafi veruleg áhrif á horfur útgefanda á a.m.k. yfirstandandi fjárhagsári.</w:t>
      </w:r>
    </w:p>
    <w:p>
      <w:pPr>
        <w:pStyle w:val="AnnexNumberedText"/>
        <w:ind w:left="802" w:hanging="293"/>
      </w:pPr>
      <w:r>
        <w:t xml:space="preserve">c)</w:t>
      </w:r>
      <w:r>
        <w:tab/>
      </w:r>
      <w:r>
        <w:t xml:space="preserve">upplýsingum um fjárhagslega og ófjárhagslega starfsstefnu og markmið útgefandans til stutts og langs tíma, þ.m.t., ef við á, sérstök tilvísun, ekki styttri en 400 orð, í viðskiptaleg og fjárhagsleg áhrif Covid-19 heimsfaraldursins á útgefandann og vænt framtíðaráhrif af honum.</w:t>
      </w:r>
    </w:p>
    <w:p>
      <w:pPr>
        <w:pStyle w:val="AnnexNormal"/>
        <w:ind w:left="508"/>
      </w:pPr>
      <w:r>
        <w:t xml:space="preserve">Ef ekki eru verulegar breytingar á þeirri þróun sem um getur í a- eða b-lið þessa bálks, skal gefa yfirlýsingu þess efnis.</w:t>
      </w:r>
    </w:p>
    <w:p>
      <w:pPr>
        <w:pStyle w:val="AnnexNumberedText"/>
        <w:ind w:left="508" w:hanging="508"/>
      </w:pPr>
      <w:r>
        <w:t xml:space="preserve">VIII.</w:t>
      </w:r>
      <w:r>
        <w:tab/>
      </w:r>
      <w:r>
        <w:t xml:space="preserve">Skilmálar og skilyrði útboðsins, fastar skuldbindingar og áform um að gerast áskrifandi og lykilþættir sölutryggingar og markaðssetningarsamninga</w:t>
      </w:r>
    </w:p>
    <w:p>
      <w:pPr>
        <w:pStyle w:val="AnnexNormal"/>
        <w:spacing w:after="0"/>
        <w:ind w:left="508"/>
      </w:pPr>
      <w:r>
        <w:t xml:space="preserve">Setja fram útboðsverðið, fjölda hluta sem í boði eru, fjárhæð útgáfunnar/útboðsins, skilyrðin sem útboðið fellur undir og málsmeðferð við nýtingu forkaupsréttar.</w:t>
      </w:r>
      <w:r>
        <w:br w:type="page"/>
      </w:r>
    </w:p>
    <w:p>
      <w:pPr>
        <w:pStyle w:val="AnnexNormal"/>
        <w:ind w:left="508"/>
      </w:pPr>
      <w:r>
        <w:t xml:space="preserve">Að því marki sem útgefandi hefur vitneskju um að stærstu hluthafar, stjórnarmenn eða starfsmenn í framkvæmdastjórn eða eftirlitseiningum útgefanda hafi í hyggju að skrá sig fyrir verðbréfum í útboðinu eða að einhver aðili hafi í hyggju að skrá sig fyrir meira en 5% af útboðinu, skal skýra frá því.</w:t>
      </w:r>
    </w:p>
    <w:p>
      <w:pPr>
        <w:pStyle w:val="AnnexNormal"/>
        <w:ind w:left="508"/>
      </w:pPr>
      <w:r>
        <w:t xml:space="preserve">Upplýsa skal um allar fastar skuldbindingar til að gerast áskrifandi að meira en 5% af útboðinu og um öll mikilvæg einkenni sölutryggingar og markaðssetningarsamninga, þ.m.t. nafn og heimilisfang aðilanna sem hafa samþykkt að sölutryggja útgáfuna með bindandi samkomulagi eða eftir bestu getu og kvóta.</w:t>
      </w:r>
    </w:p>
    <w:p>
      <w:pPr>
        <w:pStyle w:val="AnnexNumberedText"/>
        <w:ind w:left="508" w:hanging="508"/>
      </w:pPr>
      <w:r>
        <w:t xml:space="preserve">IX.</w:t>
      </w:r>
      <w:r>
        <w:tab/>
      </w:r>
      <w:r>
        <w:t xml:space="preserve">Nauðsynlegar upplýsingar um hlutabréfin og um áskrift að þeim</w:t>
      </w:r>
    </w:p>
    <w:p>
      <w:pPr>
        <w:pStyle w:val="AnnexNormal"/>
        <w:ind w:left="508"/>
      </w:pPr>
      <w:r>
        <w:t xml:space="preserve">Veitið eftirfarandi nauðsynlegar upplýsingar sem varða hlutabréfin sem eru boðin í almennu útboði eða tekin til viðskipta á skipulegum markaði:</w:t>
      </w:r>
    </w:p>
    <w:p>
      <w:pPr>
        <w:pStyle w:val="AnnexNumberedText"/>
        <w:ind w:left="802" w:hanging="293"/>
      </w:pPr>
      <w:r>
        <w:t xml:space="preserve">a)</w:t>
      </w:r>
      <w:r>
        <w:tab/>
      </w:r>
      <w:r>
        <w:t xml:space="preserve">alþjóðlegt auðkennisnúmer verðbréfa (ISIN-númer),</w:t>
      </w:r>
    </w:p>
    <w:p>
      <w:pPr>
        <w:pStyle w:val="AnnexNumberedText"/>
        <w:ind w:left="802" w:hanging="293"/>
      </w:pPr>
      <w:r>
        <w:t xml:space="preserve">b)</w:t>
      </w:r>
      <w:r>
        <w:tab/>
      </w:r>
      <w:r>
        <w:t xml:space="preserve">réttindin sem fylgja hlutabréfunum, tilhögun fyrir nýtingu þessara réttinda og hvers kyns takmarkanir á þessum réttindum,</w:t>
      </w:r>
    </w:p>
    <w:p>
      <w:pPr>
        <w:pStyle w:val="AnnexNumberedText"/>
        <w:ind w:left="802" w:hanging="293"/>
      </w:pPr>
      <w:r>
        <w:t xml:space="preserve">c)</w:t>
      </w:r>
      <w:r>
        <w:tab/>
      </w:r>
      <w:r>
        <w:t xml:space="preserve">staðurinn þar sem unnt er að gerast áskrifandi að hlutabréfum, svo og fresturinn, þ.m.t. hvers kyns mögulegar breytingar, þegar útboðstímabilið verður opið, og lýsing á umsóknarferlinu, ásamt með útgáfudegi nýrra hlutabréfa.</w:t>
      </w:r>
    </w:p>
    <w:p>
      <w:pPr>
        <w:pStyle w:val="AnnexNumberedText"/>
        <w:ind w:left="508" w:hanging="508"/>
      </w:pPr>
      <w:r>
        <w:t xml:space="preserve">X.</w:t>
      </w:r>
      <w:r>
        <w:tab/>
      </w:r>
      <w:r>
        <w:t xml:space="preserve">Ástæður útboðs og notkun ágóða</w:t>
      </w:r>
    </w:p>
    <w:p>
      <w:pPr>
        <w:pStyle w:val="AnnexNormal"/>
        <w:ind w:left="508"/>
      </w:pPr>
      <w:r>
        <w:t xml:space="preserve">Veita upplýsingar um ástæður fyrir útboðinu og, eftir atvikum, áætlað nettósöluandvirði ágóða sem er sundurliðaður og forgangsraðað miðað við fyrirhugaða ráðstöfun þess.</w:t>
      </w:r>
    </w:p>
    <w:p>
      <w:pPr>
        <w:pStyle w:val="AnnexNormal"/>
        <w:ind w:left="508"/>
      </w:pPr>
      <w:r>
        <w:t xml:space="preserve">Sé útgefanda kunnugt um að áætlaður ágóði muni ekki duga til að standa straum af allri fyrirhugaðri ráðstöfun skal tilgreina fjárhæðina sem upp á vantar og hvaðan önnur fjármögnun sem til þarf kemur.</w:t>
      </w:r>
      <w:r>
        <w:t xml:space="preserve"> </w:t>
      </w:r>
      <w:r>
        <w:t xml:space="preserve">Einnig skal veita upplýsingar um notkun ágóðans, einkum ef hann er notaður til að kaupa eignir, nema í venjulegum rekstri, fjármagna tilkynnt kaup annarra fyrirtækja eða til að losa, lækka eða greiða upp skuldir.</w:t>
      </w:r>
    </w:p>
    <w:p>
      <w:pPr>
        <w:pStyle w:val="AnnexNumberedText"/>
        <w:ind w:left="508" w:hanging="508"/>
      </w:pPr>
      <w:r>
        <w:t xml:space="preserve">XI.</w:t>
      </w:r>
      <w:r>
        <w:tab/>
      </w:r>
      <w:r>
        <w:t xml:space="preserve">Viðtaka ríkisaðstoðar</w:t>
      </w:r>
    </w:p>
    <w:p>
      <w:pPr>
        <w:pStyle w:val="AnnexNormal"/>
        <w:ind w:left="508"/>
      </w:pPr>
      <w:r>
        <w:t xml:space="preserve">Gefa út yfirlýsingu með upplýsingum um hvort útgefandinn hafi notið góðs af ríkisaðstoð í hvaða formi sem er í tengslum við endurheimt, svo og tilganginn með aðstoðinni, gerð gernings og fjárhæð móttekinnar aðstoðar og skilyrðin sem fylgja henni, ef um slíkt er að ræða.</w:t>
      </w:r>
    </w:p>
    <w:p>
      <w:pPr>
        <w:pStyle w:val="AnnexNormal"/>
        <w:ind w:left="508"/>
      </w:pPr>
      <w:r>
        <w:t xml:space="preserve">Yfirlýsingin um hvort útgefandinn hafi tekið við ríkisaðstoð verður að innihalda yfirlýsingu um að upplýsingarnar séu aðeins veittar á ábyrgð aðilanna sem bera ábyrgð á lýsingunni, eins og um getur í 1. mgr. 11. gr., að hlutverk lögbæra yfirvaldsins í að staðfesta lýsinguna sé að athuga gaumgæfilega heilleika hennar, hvort hún sé skiljanleg og samkvæm og að þess vegna sé lögbæra yfirvaldinu, að því er varðar yfirlýsingu um ríkisaðstoð, ekki skylt til að sannprófa þá yfirlýsingu á sjálfstæðan hátt.</w:t>
      </w:r>
    </w:p>
    <w:p>
      <w:pPr>
        <w:pStyle w:val="AnnexNumberedText"/>
        <w:ind w:left="508" w:hanging="508"/>
      </w:pPr>
      <w:r>
        <w:t xml:space="preserve">XII.</w:t>
      </w:r>
      <w:r>
        <w:tab/>
      </w:r>
      <w:r>
        <w:t xml:space="preserve">Yfirlýsing um veltufé</w:t>
      </w:r>
    </w:p>
    <w:p>
      <w:pPr>
        <w:pStyle w:val="AnnexNormal"/>
        <w:ind w:left="508"/>
      </w:pPr>
      <w:r>
        <w:t xml:space="preserve">Yfirlýsing útgefanda um að hann telji veltufé sitt nægja til að uppfylla núverandi þarfir sínar eða, ef ekki, hvernig hann hyggist afla þess viðbótarveltufjár sem til þarf.</w:t>
      </w:r>
    </w:p>
    <w:p>
      <w:pPr>
        <w:pStyle w:val="AnnexNumberedText"/>
        <w:ind w:left="508" w:hanging="508"/>
      </w:pPr>
      <w:r>
        <w:t xml:space="preserve">XIII.</w:t>
      </w:r>
      <w:r>
        <w:tab/>
      </w:r>
      <w:r>
        <w:t xml:space="preserve">Fjármögnun og skuldsetning</w:t>
      </w:r>
    </w:p>
    <w:p>
      <w:pPr>
        <w:pStyle w:val="AnnexNormal"/>
        <w:ind w:left="508"/>
      </w:pPr>
      <w:r>
        <w:t xml:space="preserve">Yfirlýsing um fjármögnun og skuldsetningu (þar sem gerður er greinarmunur á skuldum sem eru með og án ábyrgðar og skuldum sem eru tryggðar og ótryggðar) eigi fyrr en 90 dögum fyrir dagsetningu ESB-endurbótalýsingarinnar.</w:t>
      </w:r>
      <w:r>
        <w:t xml:space="preserve"> </w:t>
      </w:r>
      <w:r>
        <w:t xml:space="preserve">Hugtakið „skuldsetning“ felur einnig í sér óbeinar og skilyrtar skuldir.</w:t>
      </w:r>
    </w:p>
    <w:p>
      <w:pPr>
        <w:pStyle w:val="AnnexNormal"/>
        <w:ind w:left="508"/>
      </w:pPr>
      <w:r>
        <w:t xml:space="preserve">Verði verulegar breytingar á fjármögnun og skuldsetningu útgefanda á 90 daga tímabilinu, verður að veita viðbótarupplýsingar með því að leggja fram lýsingu í frásagnarformi á slíkum breytingum eða með því að uppfæra þær tölur.</w:t>
      </w:r>
    </w:p>
    <w:p>
      <w:pPr>
        <w:pStyle w:val="AnnexNumberedText"/>
        <w:ind w:left="508" w:hanging="508"/>
      </w:pPr>
      <w:r>
        <w:t xml:space="preserve">XIV.</w:t>
      </w:r>
      <w:r>
        <w:tab/>
      </w:r>
      <w:r>
        <w:t xml:space="preserve">Hagsmunaárekstrar</w:t>
      </w:r>
    </w:p>
    <w:p>
      <w:pPr>
        <w:pStyle w:val="AnnexNormal"/>
        <w:spacing w:after="0"/>
        <w:ind w:left="508"/>
      </w:pPr>
      <w:r>
        <w:t xml:space="preserve">Veita upplýsingar um hvers kyns hagsmuni sem tengjast útgáfunni, m.a. hagsmunaárekstra, og ítarlegar upplýsingar um aðilana sem koma þar að og um eðli slíkra hagsmuna.</w:t>
      </w:r>
    </w:p>
    <w:p>
      <w:pPr>
        <w:pStyle w:val="AnnexNumberedText"/>
        <w:ind w:left="508" w:hanging="508"/>
        <w:sectPr>
          <w:footnotePr>
            <w:pos w:val="beneathText"/>
            <w:numRestart w:val="eachSect"/>
          </w:footnotePr>
          <w:pgSz w:w="11906" w:h="16838" w:code="9"/>
          <w:pgMar w:top="1680" w:right="1333" w:bottom="840" w:left="1333" w:header="920" w:footer="280" w:gutter="0"/>
          <w:cols w:space="708"/>
          <w:vAlign w:val="both"/>
          <w:docGrid w:linePitch="360"/>
        </w:sectPr>
      </w:pPr>
    </w:p>
    <w:p>
      <w:pPr>
        <w:pStyle w:val="AnnexNumberedText"/>
        <w:ind w:left="508" w:hanging="508"/>
      </w:pPr>
      <w:r>
        <w:t xml:space="preserve">XV.</w:t>
      </w:r>
      <w:r>
        <w:tab/>
      </w:r>
      <w:r>
        <w:t xml:space="preserve">Þynning og hlutabréfaeign að útgáfu lokinni</w:t>
      </w:r>
    </w:p>
    <w:p>
      <w:pPr>
        <w:pStyle w:val="AnnexNormal"/>
        <w:ind w:left="508"/>
      </w:pPr>
      <w:r>
        <w:t xml:space="preserve">Gera samanburð á hlutdeild núverandi hluthafa í hlutafé og atkvæðisrétti fyrir og eftir hlutafjáraukninguna sem hlýst af almenna útboðinu, út frá þeirri forsendu að núverandi hluthafar skrái sig ekki fyrir nýjum hlutum, og, aðskilið, út frá þeirri forsendu að núverandi hluthafar nýti rétt sinn til áskriftar.</w:t>
      </w:r>
    </w:p>
    <w:p>
      <w:pPr>
        <w:pStyle w:val="AnnexNumberedText"/>
        <w:ind w:left="508" w:hanging="508"/>
      </w:pPr>
      <w:r>
        <w:t xml:space="preserve">XVI.</w:t>
      </w:r>
      <w:r>
        <w:tab/>
      </w:r>
      <w:r>
        <w:t xml:space="preserve">Tiltæk skjöl</w:t>
      </w:r>
    </w:p>
    <w:p>
      <w:pPr>
        <w:pStyle w:val="AnnexNormal"/>
        <w:ind w:left="508"/>
      </w:pPr>
      <w:r>
        <w:t xml:space="preserve">Yfirlýsing um að á gildistíma ESB-endurbótalýsingarinnar sé heimilt, eftir atvikum, að skoða eftirfarandi skjöl:</w:t>
      </w:r>
    </w:p>
    <w:p>
      <w:pPr>
        <w:pStyle w:val="AnnexNumberedText"/>
        <w:ind w:left="802" w:hanging="293"/>
      </w:pPr>
      <w:r>
        <w:t xml:space="preserve">a)</w:t>
      </w:r>
      <w:r>
        <w:tab/>
      </w:r>
      <w:r>
        <w:t xml:space="preserve">gildandi stofnsamning og samþykktir útgefanda,</w:t>
      </w:r>
    </w:p>
    <w:p>
      <w:pPr>
        <w:pStyle w:val="AnnexNumberedText"/>
        <w:ind w:left="802" w:hanging="293"/>
      </w:pPr>
      <w:r>
        <w:t xml:space="preserve">b)</w:t>
      </w:r>
      <w:r>
        <w:tab/>
      </w:r>
      <w:r>
        <w:t xml:space="preserve">allar skýrslur, bréf og önnur skjöl, mats- og greinargerðir sem eru samdar af sérfræðingi að beiðni útgefanda og að einhverju leyti eru felldar inn í eða vísað er til í ESB-endurbótalýsingunni.</w:t>
      </w:r>
    </w:p>
    <w:p>
      <w:pPr>
        <w:pStyle w:val="AnnexNormal"/>
        <w:ind w:left="508"/>
      </w:pPr>
      <w:r>
        <w:t xml:space="preserve">Tilgreina skal vefsetur þar sem hægt er að skoða skjölin.</w:t>
      </w:r>
    </w:p>
    <w:p>
      <w:pPr>
        <w:pStyle w:val="line4"/>
        <w:pBdr>
          <w:bottom w:val="none" w:sz="0" w:space="0" w:color="auto"/>
        </w:pBdr>
        <w:tabs>
          <w:tab w:val="left" w:leader="underscore" w:pos="1020"/>
        </w:tabs>
        <w:spacing w:before="400"/>
        <w:ind w:left="0" w:right="0"/>
      </w:pPr>
      <w:r>
        <w:tab/>
      </w:r>
    </w:p>
    <w:sectPr>
      <w:footnotePr>
        <w:numRestart w:val="eachSect"/>
      </w:footnotePr>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pStyle w:val="FooterRule"/>
        <w:rPr>
          <w:lang w:val="de-DE"/>
        </w:rPr>
      </w:pPr>
      <w:r>
        <w:rPr>
          <w:lang w:val="de-DE"/>
        </w:rPr>
        <w:tab/>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szCs w:val="16"/>
        </w:rPr>
      </w:pPr>
      <w:r>
        <w:t xml:space="preserve">(</w:t>
      </w:r>
      <w:r>
        <w:rPr>
          <w:rStyle w:val="FootnoteReference"/>
          <w:szCs w:val="16"/>
        </w:rPr>
        <w:footnoteRef/>
      </w:r>
      <w:r>
        <w:t xml:space="preserve">)</w:t>
      </w:r>
      <w:r>
        <w:tab/>
      </w:r>
      <w:r>
        <w:t xml:space="preserve">Stjtíð. ESB C 10, 11.1.2021, bls. 30.</w:t>
      </w:r>
    </w:p>
  </w:footnote>
  <w:footnote w:id="3">
    <w:p>
      <w:pPr>
        <w:pStyle w:val="FootnoteText"/>
        <w:rPr>
          <w:szCs w:val="16"/>
        </w:rPr>
      </w:pPr>
      <w:r>
        <w:t xml:space="preserve">(</w:t>
      </w:r>
      <w:r>
        <w:rPr>
          <w:rStyle w:val="FootnoteReference"/>
          <w:szCs w:val="16"/>
        </w:rPr>
        <w:footnoteRef/>
      </w:r>
      <w:r>
        <w:t xml:space="preserve">)</w:t>
      </w:r>
      <w:r>
        <w:tab/>
      </w:r>
      <w:r>
        <w:t xml:space="preserve">Afstaða Evrópuþingsins frá 11. febrúar 2021 (hefur enn ekki verið birt í </w:t>
      </w:r>
      <w:r>
        <w:rPr>
          <w:i/>
          <w:iCs/>
        </w:rPr>
        <w:t xml:space="preserve">Stjórnartíðindunum</w:t>
      </w:r>
      <w:r>
        <w:t xml:space="preserve">) og ákvörðun ráðsins frá 15. febrúar 2021.</w:t>
      </w:r>
    </w:p>
  </w:footnote>
  <w:footnote w:id="4">
    <w:p>
      <w:pPr>
        <w:pStyle w:val="FootnoteText"/>
        <w:rPr>
          <w:szCs w:val="16"/>
        </w:rPr>
      </w:pPr>
      <w:r>
        <w:t xml:space="preserve">(</w:t>
      </w:r>
      <w:r>
        <w:rPr>
          <w:rStyle w:val="FootnoteReference"/>
          <w:szCs w:val="16"/>
        </w:rPr>
        <w:footnoteRef/>
      </w:r>
      <w:r>
        <w:t xml:space="preserve">)</w:t>
      </w:r>
      <w:r>
        <w:tab/>
      </w:r>
      <w:r>
        <w:t xml:space="preserve">Reglugerð Evrópuþingsins og ráðsins (ESB) 2017/1129 frá 14. júní 2017 um lýsingu sem birta skal þegar verðbréf eru boðin í almennu útboði eða tekin til viðskipta á skipulegum markaði og um niðurfellingu á tilskipun 2003/71/EB (Stjtíð. ESB L 168, 30.6.2017, bls. 12).</w:t>
      </w:r>
    </w:p>
  </w:footnote>
  <w:footnote w:id="5">
    <w:p>
      <w:pPr>
        <w:pStyle w:val="FootnoteText"/>
        <w:rPr>
          <w:szCs w:val="16"/>
        </w:rPr>
      </w:pPr>
      <w:r>
        <w:t xml:space="preserve">(</w:t>
      </w:r>
      <w:r>
        <w:rPr>
          <w:rStyle w:val="FootnoteReference"/>
          <w:szCs w:val="16"/>
        </w:rPr>
        <w:footnoteRef/>
      </w:r>
      <w:r>
        <w:t xml:space="preserve">)</w:t>
      </w:r>
      <w:r>
        <w:tab/>
      </w:r>
      <w:r>
        <w:t xml:space="preserve">Framseld reglugerð framkvæmdastjórnarinnar 2019/980 frá 14. mars 2019 um viðbætur við reglugerð Evrópuþingsins og ráðsins (ESB) 2017/1129 að því er varðar sniðmát, efni, athugun og staðfestingu lýsinga sem birta skal þegar verðbréf eru boðin í almennu útboði eða tekin til viðskipta á skipulegum markaði og um niðurfellingu á reglugerð framkvæmdastjórnarinnar (EB) nr. 809/2004 (Stjtíð. ESB L 166, 21.6.2019, bls. 26).</w:t>
      </w:r>
    </w:p>
  </w:footnote>
  <w:footnote w:id="6">
    <w:p>
      <w:pPr>
        <w:pStyle w:val="FootnoteText"/>
        <w:rPr>
          <w:szCs w:val="16"/>
        </w:rPr>
      </w:pPr>
      <w:r>
        <w:t xml:space="preserve">(</w:t>
      </w:r>
      <w:r>
        <w:rPr>
          <w:rStyle w:val="FootnoteReference"/>
          <w:szCs w:val="16"/>
        </w:rPr>
        <w:footnoteRef/>
      </w:r>
      <w:r>
        <w:t xml:space="preserve">)</w:t>
      </w:r>
      <w:r>
        <w:tab/>
      </w:r>
      <w:r>
        <w:t xml:space="preserve">Reglugerð Evrópuþingsins og ráðsins (ESB) nr. 596/2014 frá 16. apríl 2014 um markaðssvik (reglugerð um markaðssvik) og um niðurfellingu á tilskipun Evrópuþingsins og ráðsins 2003/6/EB og tilskipunum framkvæmdastjórnarinnar 2003/124/EB, 2003/125/EB og 2004/72/EB (Stjtíð. ESB. L 173, 12.6.2014, bls. 1).</w:t>
      </w:r>
    </w:p>
  </w:footnote>
  <w:footnote w:id="7">
    <w:p>
      <w:pPr>
        <w:pStyle w:val="FootnoteText"/>
        <w:rPr>
          <w:szCs w:val="16"/>
        </w:rPr>
      </w:pPr>
      <w:r>
        <w:t xml:space="preserve">(</w:t>
      </w:r>
      <w:r>
        <w:rPr>
          <w:rStyle w:val="FootnoteReference"/>
          <w:szCs w:val="16"/>
        </w:rPr>
        <w:footnoteRef/>
      </w:r>
      <w:r>
        <w:t xml:space="preserve">)</w:t>
      </w:r>
      <w:r>
        <w:tab/>
      </w:r>
      <w:r>
        <w:t xml:space="preserve">Tilskipun Evrópuþingsins og ráðsins 2004/109/EB frá 15. desember 2004 um samhæfingu krafna um gagnsæi í tengslum við upplýsingar um útgefendur verðbréfa sem eru skráð á skipulegan markað og um breytingu á tilskipun 2001/34/EB (Stjtíð. ESB L 390, 31.12.2004, bls. 38).</w:t>
      </w:r>
    </w:p>
  </w:footnote>
  <w:footnote w:id="8">
    <w:p>
      <w:pPr>
        <w:pStyle w:val="FootnoteText"/>
        <w:rPr>
          <w:szCs w:val="16"/>
        </w:rPr>
      </w:pPr>
      <w:r>
        <w:t xml:space="preserve">(</w:t>
      </w:r>
      <w:r>
        <w:rPr>
          <w:rStyle w:val="FootnoteReference"/>
          <w:szCs w:val="16"/>
        </w:rPr>
        <w:footnoteRef/>
      </w:r>
      <w:r>
        <w:t xml:space="preserve">)</w:t>
      </w:r>
      <w:r>
        <w:tab/>
      </w:r>
      <w:r>
        <w:t xml:space="preserve">Framseld reglugerð framkvæmdastjórnarinnar (ESB) 2017/565 frá 25. apríl 2016 um viðbætur við tilskipun Evrópuþingsins og ráðsins 2014/65/ESB að því er varðar skipulagskröfur og rekstrarskilyrði verðbréfafyrirtækja og hugtök sem skilgreind eru að því er varðar þá tilskipun (Stjtíð. ESB L 87, 31.3.2017, bls. 1).</w:t>
      </w:r>
    </w:p>
  </w:footnote>
  <w:footnote w:id="9">
    <w:p>
      <w:pPr>
        <w:pStyle w:val="FootnoteText"/>
        <w:rPr>
          <w:szCs w:val="16"/>
        </w:rPr>
      </w:pPr>
      <w:r>
        <w:t xml:space="preserve">(</w:t>
      </w:r>
      <w:r>
        <w:rPr>
          <w:rStyle w:val="FootnoteReference"/>
          <w:szCs w:val="16"/>
        </w:rPr>
        <w:footnoteRef/>
      </w:r>
      <w:r>
        <w:t xml:space="preserve">)</w:t>
      </w:r>
      <w:r>
        <w:tab/>
      </w:r>
      <w:r>
        <w:t xml:space="preserve">Framseld reglugerð framkvæmdastjórnarinnar (ESB) 2018/815 frá 17. desember 2018 um viðbætur við tilskipun Evrópuþingsins og ráðsins 2004/109/EB að því er varðar tæknilega eftirlitsstaðla um forskriftir fyrir sameiginlegt rafrænt skýrslusnið (Stjtíð. ESB L 143, 29.5.2019, bls. 1)</w:t>
      </w:r>
    </w:p>
  </w:footnote>
  <w:footnote w:id="10">
    <w:p>
      <w:pPr>
        <w:pStyle w:val="FootnoteText"/>
        <w:rPr>
          <w:szCs w:val="16"/>
        </w:rPr>
      </w:pPr>
      <w:r>
        <w:t xml:space="preserve">(</w:t>
      </w:r>
      <w:r>
        <w:rPr>
          <w:rStyle w:val="FootnoteReference"/>
          <w:szCs w:val="16"/>
        </w:rPr>
        <w:footnoteRef/>
      </w:r>
      <w:r>
        <w:t xml:space="preserve">)</w:t>
      </w:r>
      <w:r>
        <w:tab/>
      </w:r>
      <w:r>
        <w:t xml:space="preserve">Tilskipun Evrópuþingsins og ráðsins 2006/43/EB frá 17. maí 2006 um lögboðna endurskoðun ársreikninga og samstæðureikningsskila, um breytingu á tilskipunum ráðsins 78/660/EBE og 83/349/EBE og um niðurfellingu á tilskipun ráðsins 84/253/EBE (Stjtíð. ESB L 157, 9.6.2006, bls. 87).</w:t>
      </w:r>
    </w:p>
  </w:footnote>
  <w:footnote w:id="11">
    <w:p>
      <w:pPr>
        <w:pStyle w:val="FootnoteText"/>
        <w:rPr>
          <w:szCs w:val="16"/>
        </w:rPr>
      </w:pPr>
      <w:r>
        <w:t xml:space="preserve">(</w:t>
      </w:r>
      <w:r>
        <w:rPr>
          <w:rStyle w:val="FootnoteReference"/>
          <w:szCs w:val="16"/>
        </w:rPr>
        <w:footnoteRef/>
      </w:r>
      <w:r>
        <w:t xml:space="preserve">)</w:t>
      </w:r>
      <w:r>
        <w:tab/>
      </w:r>
      <w:r>
        <w:t xml:space="preserve">Reglugerð Evrópuþingsins og ráðsins (ESB) nr. 537/2014 frá 16. apríl 2014 um sérstakar kröfur í tengslum við lögboðna endurskoðun á einingum tengdum almannahagsmunum og niðurfellingu á ákvörðun framkvæmdastjórnarinnar 2005/909/EB (Stjtíð. ESB L 158, 27.5.2014, bls. 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50253"/>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autoHyphenation/>
  <w:consecutiveHyphenLimit w:val="2"/>
  <w:hyphenationZone w:val="357"/>
  <w:doNotHyphenateCaps/>
  <w:defaultTableStyle w:val="EFTATable"/>
  <w:characterSpacingControl w:val="doNotCompress"/>
  <w:hdrShapeDefaults>
    <o:shapedefaults v:ext="edit" spidmax="6145"/>
  </w:hdrShapeDefaults>
  <w:footnotePr>
    <w:pos w:val="beneathText"/>
    <w:numRestart w:val="eachSect"/>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4D62918-45CB-4871-BE20-C501FEA9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hd w:val="clear" w:color="auto" w:fill="FF0000"/>
      <w:spacing w:line="240" w:lineRule="exact"/>
      <w:jc w:val="both"/>
    </w:pPr>
    <w:rPr>
      <w:rFonts w:ascii="Times New Roman" w:hAnsi="Times New Roman"/>
      <w:color w:val="00B05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Header">
    <w:name w:val="header"/>
    <w:basedOn w:val="Para"/>
    <w:link w:val="HeaderChar"/>
    <w:uiPriority w:val="99"/>
    <w:unhideWhenUsed/>
    <w:pPr>
      <w:spacing w:after="100" w:line="200" w:lineRule="exact"/>
    </w:pPr>
  </w:style>
  <w:style w:type="character" w:customStyle="1" w:styleId="HeaderChar">
    <w:name w:val="Header Char"/>
    <w:basedOn w:val="DefaultParagraphFont"/>
    <w:link w:val="Header"/>
    <w:uiPriority w:val="99"/>
    <w:rPr>
      <w:rFonts w:ascii="Times New Roman" w:hAnsi="Times New Roman"/>
      <w:sz w:val="18"/>
      <w14:ligatures w14:val="standard"/>
    </w:rPr>
  </w:style>
  <w:style w:type="paragraph" w:styleId="Footer">
    <w:name w:val="footer"/>
    <w:basedOn w:val="Para"/>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sz w:val="18"/>
      <w14:ligatures w14:val="standar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Normal"/>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Normal"/>
    <w:next w:val="Normal"/>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FootnoteText">
    <w:name w:val="footnote text"/>
    <w:basedOn w:val="ParaSmall"/>
    <w:link w:val="FootnoteTextChar"/>
    <w:uiPriority w:val="99"/>
    <w:semiHidden/>
    <w:unhideWhenUsed/>
    <w:pPr>
      <w:spacing w:after="0"/>
      <w:ind w:left="300" w:hanging="300"/>
    </w:pPr>
    <w:rPr>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14:ligatures w14:val="standard"/>
    </w:rPr>
  </w:style>
  <w:style w:type="character" w:styleId="FootnoteReference">
    <w:name w:val="footnote reference"/>
    <w:basedOn w:val="DefaultParagraphFont"/>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FootnoteText"/>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6"/>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8"/>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6"/>
    </w:rPr>
  </w:style>
  <w:style w:type="paragraph" w:customStyle="1" w:styleId="NormalSmall">
    <w:name w:val="NormalSmall"/>
    <w:basedOn w:val="Normal"/>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Hyperlink">
    <w:name w:val="Hyperlink"/>
    <w:basedOn w:val="DefaultParagraphFont"/>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Revision">
    <w:name w:val="Revision"/>
    <w:hidden/>
    <w:uiPriority w:val="99"/>
    <w:semiHidden/>
    <w:pPr>
      <w:spacing w:after="0" w:line="240" w:lineRule="auto"/>
    </w:pPr>
    <w:rPr>
      <w:rFonts w:ascii="Times New Roman" w:hAnsi="Times New Roman"/>
      <w:sz w:val="1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bleNormal"/>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rPr>
      <w:sz w:val="16"/>
    </w:rPr>
  </w:style>
  <w:style w:type="paragraph" w:customStyle="1" w:styleId="AnnexTableGrAnnotations">
    <w:name w:val="AnnexTableGrAnnotations"/>
    <w:basedOn w:val="AnnexTableGrNotes"/>
    <w:qFormat/>
    <w:pPr>
      <w:ind w:left="0" w:firstLine="0"/>
    </w:p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Quote">
    <w:name w:val="Quote"/>
    <w:basedOn w:val="Para"/>
    <w:next w:val="Para"/>
    <w:link w:val="QuoteChar"/>
    <w:uiPriority w:val="29"/>
    <w:qFormat/>
    <w:rPr>
      <w:i/>
      <w:iCs/>
      <w:color w:val="000000" w:themeColor="text1"/>
    </w:rPr>
  </w:style>
  <w:style w:type="character" w:customStyle="1" w:styleId="QuoteChar">
    <w:name w:val="Quote Char"/>
    <w:basedOn w:val="DefaultParagraphFont"/>
    <w:link w:val="Quote"/>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Header"/>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FollowedHyperlink">
    <w:name w:val="FollowedHyperlink"/>
    <w:basedOn w:val="DefaultParagraphFont"/>
    <w:uiPriority w:val="99"/>
    <w:semiHidden/>
    <w:unhideWhenUsed/>
    <w:rPr>
      <w:color w:val="0000FF"/>
      <w:u w:val="none"/>
    </w:rPr>
  </w:style>
  <w:style w:type="character" w:customStyle="1" w:styleId="Footnote8pt">
    <w:name w:val="Footnote8pt"/>
    <w:basedOn w:val="DefaultParagraphFont"/>
    <w:uiPriority w:val="1"/>
    <w:qFormat/>
    <w:rPr>
      <w:rFonts w:ascii="Times New Roman" w:hAnsi="Times New Roman"/>
      <w:color w:val="auto"/>
      <w:sz w:val="16"/>
      <w:lang w:val="is-IS"/>
    </w:rPr>
  </w:style>
  <w:style w:type="character" w:customStyle="1" w:styleId="Footnote7pt">
    <w:name w:val="Footnote7pt"/>
    <w:basedOn w:val="DefaultParagraphFont"/>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7AF32-B5C8-434E-8FC4-D36E8472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13</Pages>
  <Words>6392</Words>
  <Characters>36438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42745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Thiyagarajan, Vijayakumar</cp:lastModifiedBy>
  <cp:revision>225</cp:revision>
  <cp:lastPrinted>2017-02-23T13:37:00Z</cp:lastPrinted>
  <dcterms:created xsi:type="dcterms:W3CDTF">2016-11-02T11:36:00Z</dcterms:created>
  <dcterms:modified xsi:type="dcterms:W3CDTF">2021-03-11T15:25:00Z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