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308A" w14:textId="77777777" w:rsidR="003C0878" w:rsidRPr="004B2BC1" w:rsidRDefault="003C0878" w:rsidP="003C0878">
      <w:pPr>
        <w:keepNext/>
        <w:tabs>
          <w:tab w:val="right" w:pos="7796"/>
        </w:tabs>
        <w:spacing w:before="240" w:after="60"/>
        <w:ind w:firstLine="0"/>
        <w:jc w:val="center"/>
        <w:outlineLvl w:val="0"/>
        <w:rPr>
          <w:noProof w:val="0"/>
          <w:spacing w:val="32"/>
          <w:kern w:val="28"/>
          <w:sz w:val="32"/>
          <w:szCs w:val="20"/>
          <w:lang w:eastAsia="en-GB"/>
        </w:rPr>
      </w:pPr>
      <w:bookmarkStart w:id="0" w:name="_Hlk34298193"/>
      <w:r w:rsidRPr="004B2BC1">
        <w:rPr>
          <w:noProof w:val="0"/>
          <w:spacing w:val="32"/>
          <w:kern w:val="28"/>
          <w:sz w:val="32"/>
          <w:szCs w:val="20"/>
          <w:lang w:eastAsia="en-GB"/>
        </w:rPr>
        <w:t>REGLUGERÐ</w:t>
      </w:r>
    </w:p>
    <w:p w14:paraId="195E1725" w14:textId="77777777" w:rsidR="003C0878" w:rsidRPr="004B2BC1" w:rsidRDefault="003C0878" w:rsidP="003C0878">
      <w:pPr>
        <w:keepNext/>
        <w:tabs>
          <w:tab w:val="right" w:pos="7796"/>
        </w:tabs>
        <w:ind w:firstLine="0"/>
        <w:jc w:val="center"/>
        <w:outlineLvl w:val="1"/>
        <w:rPr>
          <w:b/>
          <w:noProof w:val="0"/>
          <w:szCs w:val="20"/>
          <w:lang w:eastAsia="en-GB"/>
        </w:rPr>
      </w:pPr>
      <w:r w:rsidRPr="004B2BC1">
        <w:rPr>
          <w:b/>
          <w:noProof w:val="0"/>
          <w:szCs w:val="20"/>
          <w:lang w:eastAsia="en-GB"/>
        </w:rPr>
        <w:t>um (</w:t>
      </w:r>
      <w:r w:rsidR="007C2507" w:rsidRPr="004B2BC1">
        <w:rPr>
          <w:b/>
          <w:noProof w:val="0"/>
          <w:szCs w:val="20"/>
          <w:lang w:eastAsia="en-GB"/>
        </w:rPr>
        <w:t>3</w:t>
      </w:r>
      <w:r w:rsidRPr="004B2BC1">
        <w:rPr>
          <w:b/>
          <w:noProof w:val="0"/>
          <w:szCs w:val="20"/>
          <w:lang w:eastAsia="en-GB"/>
        </w:rPr>
        <w:t>.) breytingu á reglugerð um varfærniskröfur vegna starfsemi fjármálafyrirtækja, nr. 233/2017.</w:t>
      </w:r>
    </w:p>
    <w:p w14:paraId="49AAA767" w14:textId="77777777" w:rsidR="003C0878" w:rsidRPr="004B2BC1" w:rsidRDefault="003C0878" w:rsidP="003C0878">
      <w:pPr>
        <w:ind w:firstLine="0"/>
      </w:pPr>
    </w:p>
    <w:p w14:paraId="32E506C4" w14:textId="77777777" w:rsidR="003C0878" w:rsidRPr="004B2BC1" w:rsidRDefault="003C0878" w:rsidP="003C0878">
      <w:pPr>
        <w:keepNext/>
        <w:tabs>
          <w:tab w:val="right" w:pos="7796"/>
        </w:tabs>
        <w:ind w:firstLine="0"/>
        <w:jc w:val="center"/>
        <w:outlineLvl w:val="2"/>
        <w:rPr>
          <w:noProof w:val="0"/>
          <w:szCs w:val="20"/>
          <w:lang w:eastAsia="en-GB"/>
        </w:rPr>
      </w:pPr>
      <w:r w:rsidRPr="004B2BC1">
        <w:rPr>
          <w:noProof w:val="0"/>
          <w:szCs w:val="20"/>
          <w:lang w:eastAsia="en-GB"/>
        </w:rPr>
        <w:t>1. gr.</w:t>
      </w:r>
    </w:p>
    <w:p w14:paraId="174159B5" w14:textId="77777777" w:rsidR="003C0878" w:rsidRPr="004B2BC1" w:rsidRDefault="003C0878" w:rsidP="003C0878">
      <w:pPr>
        <w:rPr>
          <w:lang w:eastAsia="en-GB"/>
        </w:rPr>
      </w:pPr>
      <w:r w:rsidRPr="004B2BC1">
        <w:rPr>
          <w:lang w:eastAsia="en-GB"/>
        </w:rPr>
        <w:t>Eftirfarandi breytingar verða á 1. gr. reglugerðarinnar:</w:t>
      </w:r>
    </w:p>
    <w:p w14:paraId="411B39B0" w14:textId="77777777" w:rsidR="00C209DA" w:rsidRPr="004B2BC1" w:rsidRDefault="003C0878" w:rsidP="006B36BB">
      <w:pPr>
        <w:rPr>
          <w:lang w:eastAsia="en-GB"/>
        </w:rPr>
      </w:pPr>
      <w:r w:rsidRPr="004B2BC1">
        <w:rPr>
          <w:lang w:eastAsia="en-GB"/>
        </w:rPr>
        <w:t xml:space="preserve">a. </w:t>
      </w:r>
      <w:r w:rsidR="00C209DA" w:rsidRPr="004B2BC1">
        <w:rPr>
          <w:lang w:eastAsia="en-GB"/>
        </w:rPr>
        <w:t xml:space="preserve">Í stað a- og b-liðar 1. tölul. </w:t>
      </w:r>
      <w:r w:rsidR="002B5A8D" w:rsidRPr="004B2BC1">
        <w:rPr>
          <w:lang w:eastAsia="en-GB"/>
        </w:rPr>
        <w:t>3</w:t>
      </w:r>
      <w:r w:rsidR="00C209DA" w:rsidRPr="004B2BC1">
        <w:rPr>
          <w:lang w:eastAsia="en-GB"/>
        </w:rPr>
        <w:t>. mgr. koma fjórir nýir stafliðir, svohljóðandi:</w:t>
      </w:r>
    </w:p>
    <w:p w14:paraId="4C80F2F9" w14:textId="77777777" w:rsidR="00C209DA" w:rsidRPr="004B2BC1" w:rsidRDefault="00C209DA" w:rsidP="00C209DA">
      <w:pPr>
        <w:rPr>
          <w:lang w:eastAsia="en-GB"/>
        </w:rPr>
      </w:pPr>
      <w:r w:rsidRPr="004B2BC1">
        <w:rPr>
          <w:lang w:eastAsia="en-GB"/>
        </w:rPr>
        <w:t>a.</w:t>
      </w:r>
      <w:r w:rsidRPr="004B2BC1">
        <w:t xml:space="preserve"> </w:t>
      </w:r>
      <w:r w:rsidRPr="004B2BC1">
        <w:rPr>
          <w:lang w:eastAsia="en-GB"/>
        </w:rPr>
        <w:t xml:space="preserve">Reglugerð Evrópuþingsins og ráðsins (ESB) 2016/1014 frá 8. júní 2016 um breytingu á reglugerð (ESB) nr. 575/2013 að því er varðar undanþágur fyrir seljendur hrávöru, sem er birt á </w:t>
      </w:r>
      <w:hyperlink r:id="rId8" w:history="1">
        <w:r w:rsidRPr="004B2BC1">
          <w:rPr>
            <w:rStyle w:val="Hyperlink"/>
            <w:lang w:eastAsia="en-GB"/>
          </w:rPr>
          <w:t>bls. 342 í EES-viðbæti við Stjórnartíðindi Evrópusambandsins nr. 50 frá 23. júlí 2020</w:t>
        </w:r>
      </w:hyperlink>
      <w:r w:rsidRPr="004B2BC1">
        <w:rPr>
          <w:lang w:eastAsia="en-GB"/>
        </w:rPr>
        <w:t xml:space="preserve">, sem var tekin upp í EES-samninginn með ákvörðun sameiginlegu EES-nefndarinnar nr. 82/2019 frá 29. mars 2019, sem er birt á </w:t>
      </w:r>
      <w:hyperlink r:id="rId9" w:anchor="page=75" w:history="1">
        <w:r w:rsidRPr="004B2BC1">
          <w:rPr>
            <w:rStyle w:val="Hyperlink"/>
            <w:lang w:eastAsia="en-GB"/>
          </w:rPr>
          <w:t>bls. 71 í EES-viðbæti við Stjórnartíðindi Evrópusambandsins nr. 44 frá 2. júlí 2020</w:t>
        </w:r>
      </w:hyperlink>
      <w:r w:rsidRPr="004B2BC1">
        <w:rPr>
          <w:lang w:eastAsia="en-GB"/>
        </w:rPr>
        <w:t>.</w:t>
      </w:r>
    </w:p>
    <w:p w14:paraId="09F612BA" w14:textId="77777777" w:rsidR="00C209DA" w:rsidRPr="004B2BC1" w:rsidRDefault="00C209DA" w:rsidP="00C209DA">
      <w:pPr>
        <w:rPr>
          <w:lang w:eastAsia="en-GB"/>
        </w:rPr>
      </w:pPr>
      <w:r w:rsidRPr="004B2BC1">
        <w:rPr>
          <w:lang w:eastAsia="en-GB"/>
        </w:rPr>
        <w:t>b. Framseldri reglugerð framkvæmdastjórnarinnar (ESB) 2017/2188 frá 11. ágúst 2017 um breytingu á reglugerð Evrópuþingsins og ráðsins (ESB) nr. 575/2013 að því er varðar undanþágu á kröfum um eiginfjárgrunn að því er varðar tiltekin sértryggð skuldabréf, sem var tekin upp í EES-samninginn með ákvörðun sameiginlegu EES-nefndarinnar nr. 64/2020</w:t>
      </w:r>
      <w:r w:rsidR="002B5A8D" w:rsidRPr="004B2BC1">
        <w:rPr>
          <w:lang w:eastAsia="en-GB"/>
        </w:rPr>
        <w:t xml:space="preserve"> frá 30. apríl 2020</w:t>
      </w:r>
      <w:r w:rsidRPr="004B2BC1">
        <w:rPr>
          <w:lang w:eastAsia="en-GB"/>
        </w:rPr>
        <w:t>. Reglugerðin er birt í fylgiskjali með reglugerð þessari.</w:t>
      </w:r>
    </w:p>
    <w:p w14:paraId="40391BFF" w14:textId="77777777" w:rsidR="00C209DA" w:rsidRPr="004B2BC1" w:rsidRDefault="00C209DA" w:rsidP="00C209DA">
      <w:pPr>
        <w:rPr>
          <w:lang w:eastAsia="en-GB"/>
        </w:rPr>
      </w:pPr>
      <w:r w:rsidRPr="004B2BC1">
        <w:rPr>
          <w:lang w:eastAsia="en-GB"/>
        </w:rPr>
        <w:t>c.</w:t>
      </w:r>
      <w:r w:rsidRPr="004B2BC1">
        <w:t xml:space="preserve"> </w:t>
      </w:r>
      <w:r w:rsidRPr="004B2BC1">
        <w:rPr>
          <w:lang w:eastAsia="en-GB"/>
        </w:rPr>
        <w:t xml:space="preserve">Reglugerð Evrópuþingsins og ráðsins (ESB) 2017/2395 frá 12. desember 2017 um breytingu á reglugerð (ESB) nr. 575/2013 að því er varðar umbreytingarfyrirkomulag til að draga úr áhrifum á eiginfjárgrunn vegna innleiðingar IFRS-staðals 9 og fyrir meðhöndlun tiltekinna áhættuskuldbindinga opinberra aðila sem gefnir eru upp í heimagjaldmiðli aðildarríkis sem stórra áhættuskuldbindinga, sem er birt á </w:t>
      </w:r>
      <w:hyperlink r:id="rId10" w:anchor="page=96" w:history="1">
        <w:r w:rsidRPr="004B2BC1">
          <w:rPr>
            <w:rStyle w:val="Hyperlink"/>
            <w:lang w:eastAsia="en-GB"/>
          </w:rPr>
          <w:t>bls. 94 í EES-viðbæti við Stjórnartíðindi Evrópusambandsins nr. 42 frá 25. júní 2020</w:t>
        </w:r>
      </w:hyperlink>
      <w:r w:rsidRPr="004B2BC1">
        <w:rPr>
          <w:lang w:eastAsia="en-GB"/>
        </w:rPr>
        <w:t xml:space="preserve">, sem var tekin upp í EES-samninginn með ákvörðun sameiginlegu EES-nefndarinnar nr. 79/2019 frá 29. mars 2019, sem er birt á </w:t>
      </w:r>
      <w:hyperlink r:id="rId11" w:anchor="page=2" w:history="1">
        <w:r w:rsidRPr="004B2BC1">
          <w:rPr>
            <w:rStyle w:val="Hyperlink"/>
            <w:lang w:eastAsia="en-GB"/>
          </w:rPr>
          <w:t>bls. 1 í EES-viðbæti við Stjórnartíðindi Evrópusambandsins nr. 99 frá 12. desember 2019</w:t>
        </w:r>
      </w:hyperlink>
      <w:r w:rsidRPr="004B2BC1">
        <w:rPr>
          <w:lang w:eastAsia="en-GB"/>
        </w:rPr>
        <w:t xml:space="preserve">, þó þannig að í stað dagsetningarinnar </w:t>
      </w:r>
      <w:r w:rsidR="00CC71E2">
        <w:rPr>
          <w:lang w:eastAsia="en-GB"/>
        </w:rPr>
        <w:t>„</w:t>
      </w:r>
      <w:r w:rsidRPr="004B2BC1">
        <w:rPr>
          <w:lang w:eastAsia="en-GB"/>
        </w:rPr>
        <w:t>1. febrúar 2018</w:t>
      </w:r>
      <w:r w:rsidR="00CC71E2">
        <w:rPr>
          <w:lang w:eastAsia="en-GB"/>
        </w:rPr>
        <w:t>“</w:t>
      </w:r>
      <w:r w:rsidRPr="004B2BC1">
        <w:rPr>
          <w:lang w:eastAsia="en-GB"/>
        </w:rPr>
        <w:t xml:space="preserve"> tvívegis í 9. efnismgr. 1. tölul. 1. gr. reglugerðar (ESB) 2017/2395 kemur: 1. maí 2020.</w:t>
      </w:r>
    </w:p>
    <w:p w14:paraId="69F3E8D7" w14:textId="77777777" w:rsidR="00C209DA" w:rsidRPr="004B2BC1" w:rsidRDefault="00C209DA" w:rsidP="00C209DA">
      <w:pPr>
        <w:rPr>
          <w:lang w:eastAsia="en-GB"/>
        </w:rPr>
      </w:pPr>
      <w:r w:rsidRPr="004B2BC1">
        <w:rPr>
          <w:lang w:eastAsia="en-GB"/>
        </w:rPr>
        <w:t xml:space="preserve">d. Reglugerð Evrópuþingsins og ráðsins (ESB) 2019/630 frá 17. apríl 2019 um breytingu á reglugerð (ESB) nr. 575/2013 að því er varðar lágmarkstryggingavernd fyrir tapi vegna vanefndra áhættuskuldbindinga, sem er birt á </w:t>
      </w:r>
      <w:hyperlink r:id="rId12" w:history="1">
        <w:r w:rsidRPr="004B2BC1">
          <w:rPr>
            <w:rStyle w:val="Hyperlink"/>
            <w:lang w:eastAsia="en-GB"/>
          </w:rPr>
          <w:t>bls. 22 í EES-viðbæti við Stjórnartíðindi Evrópusambandsins nr. 19 frá 18. mars 2021</w:t>
        </w:r>
      </w:hyperlink>
      <w:r w:rsidRPr="004B2BC1">
        <w:rPr>
          <w:lang w:eastAsia="en-GB"/>
        </w:rPr>
        <w:t>, sem var tekin upp í EES-samninginn með ákvörðun sameiginlegu EES-nefndarinnar nr. 16/2020</w:t>
      </w:r>
      <w:r w:rsidR="00FA03CC" w:rsidRPr="004B2BC1">
        <w:rPr>
          <w:lang w:eastAsia="en-GB"/>
        </w:rPr>
        <w:t xml:space="preserve"> frá 7. febrúar 2020</w:t>
      </w:r>
      <w:r w:rsidRPr="004B2BC1">
        <w:rPr>
          <w:lang w:eastAsia="en-GB"/>
        </w:rPr>
        <w:t>. Ákvörðunin er birt í fylgiskjali með reglugerð þessari.</w:t>
      </w:r>
    </w:p>
    <w:p w14:paraId="4D386CD3" w14:textId="77777777" w:rsidR="00521D79" w:rsidRPr="004B2BC1" w:rsidRDefault="00C209DA" w:rsidP="003C0878">
      <w:pPr>
        <w:rPr>
          <w:lang w:eastAsia="en-GB"/>
        </w:rPr>
      </w:pPr>
      <w:r w:rsidRPr="004B2BC1">
        <w:rPr>
          <w:lang w:eastAsia="en-GB"/>
        </w:rPr>
        <w:t>b</w:t>
      </w:r>
      <w:r w:rsidR="00521D79" w:rsidRPr="004B2BC1">
        <w:rPr>
          <w:lang w:eastAsia="en-GB"/>
        </w:rPr>
        <w:t>. 4. mgr. orðast svo:</w:t>
      </w:r>
    </w:p>
    <w:p w14:paraId="08B3CA00" w14:textId="77777777" w:rsidR="00521D79" w:rsidRPr="004B2BC1" w:rsidRDefault="006C5DA7" w:rsidP="003C0878">
      <w:pPr>
        <w:rPr>
          <w:lang w:eastAsia="en-GB"/>
        </w:rPr>
      </w:pPr>
      <w:r w:rsidRPr="004B2BC1">
        <w:rPr>
          <w:lang w:eastAsia="en-GB"/>
        </w:rPr>
        <w:t>Eftirfarandi reglugerðir skulu</w:t>
      </w:r>
      <w:r w:rsidR="00521D79" w:rsidRPr="004B2BC1">
        <w:rPr>
          <w:lang w:eastAsia="en-GB"/>
        </w:rPr>
        <w:t xml:space="preserve"> gilda hér á landi:</w:t>
      </w:r>
    </w:p>
    <w:p w14:paraId="30658892" w14:textId="2BDDD187" w:rsidR="0061554C" w:rsidRDefault="00521D79" w:rsidP="003C0878">
      <w:pPr>
        <w:rPr>
          <w:lang w:eastAsia="en-GB"/>
        </w:rPr>
      </w:pPr>
      <w:r w:rsidRPr="004B2BC1">
        <w:rPr>
          <w:lang w:eastAsia="en-GB"/>
        </w:rPr>
        <w:t xml:space="preserve">1. </w:t>
      </w:r>
      <w:r w:rsidR="007E4124" w:rsidRPr="004B2BC1">
        <w:rPr>
          <w:lang w:eastAsia="en-GB"/>
        </w:rPr>
        <w:t>Reglugerð</w:t>
      </w:r>
      <w:r w:rsidRPr="004B2BC1">
        <w:rPr>
          <w:lang w:eastAsia="en-GB"/>
        </w:rPr>
        <w:t xml:space="preserve"> Evrópuþingsins og ráðsins (ESB) 2019/876 frá 20. maí 2019</w:t>
      </w:r>
      <w:r w:rsidRPr="004B2BC1">
        <w:t xml:space="preserve"> </w:t>
      </w:r>
      <w:r w:rsidRPr="004B2BC1">
        <w:rPr>
          <w:lang w:eastAsia="en-GB"/>
        </w:rPr>
        <w:t>um breytingu á reglugerð (ESB) nr. 575/2013 að því er varðar vogunarhlutfall, hlutfall stöðugrar nettófjármögnunar, kröfur um eiginfjárgrunn og hæfar skuldbindingar, útlánaáhættu mótaðila, markaðsáhættu, áhættuskuldbindingar gagnvart miðlægum mótaðilum, áhættuskuldbindingar gagnvart sjóðum um sameiginlega fjárfestingu, stórar áhættuskuldbindingar, skýrslugjafarskyldu og birtingarkröfur og reglugerð (ESB) nr. 648/2012</w:t>
      </w:r>
      <w:r w:rsidR="007E4124" w:rsidRPr="004B2BC1">
        <w:rPr>
          <w:lang w:eastAsia="en-GB"/>
        </w:rPr>
        <w:t>, þó ekki</w:t>
      </w:r>
      <w:r w:rsidR="002849E4">
        <w:rPr>
          <w:lang w:eastAsia="en-GB"/>
        </w:rPr>
        <w:t xml:space="preserve"> ii- til v-, vii- og xii-liðir a-liðar 2. tölul.,</w:t>
      </w:r>
      <w:r w:rsidR="00721A82">
        <w:rPr>
          <w:lang w:eastAsia="en-GB"/>
        </w:rPr>
        <w:t xml:space="preserve"> </w:t>
      </w:r>
      <w:r w:rsidR="00AF070A">
        <w:rPr>
          <w:lang w:eastAsia="en-GB"/>
        </w:rPr>
        <w:t xml:space="preserve">29., 31., 38., 45. og </w:t>
      </w:r>
      <w:r w:rsidR="00721A82">
        <w:rPr>
          <w:lang w:eastAsia="en-GB"/>
        </w:rPr>
        <w:t>122. tölul. 1. gr.</w:t>
      </w:r>
      <w:r w:rsidR="00AF070A">
        <w:rPr>
          <w:lang w:eastAsia="en-GB"/>
        </w:rPr>
        <w:t xml:space="preserve"> og</w:t>
      </w:r>
      <w:r w:rsidR="007E4124" w:rsidRPr="004B2BC1">
        <w:rPr>
          <w:lang w:eastAsia="en-GB"/>
        </w:rPr>
        <w:t xml:space="preserve"> 2. gr. </w:t>
      </w:r>
      <w:r w:rsidR="0061554C">
        <w:rPr>
          <w:lang w:eastAsia="en-GB"/>
        </w:rPr>
        <w:t>reglugerðarinnar né fyrirmæli 8., 23., 27., 33., 35.–37., 39.–41., 47., 63., 101., 119., 128. og 129. tölul. 1. gr.</w:t>
      </w:r>
      <w:r w:rsidR="002849E4">
        <w:rPr>
          <w:lang w:eastAsia="en-GB"/>
        </w:rPr>
        <w:t xml:space="preserve"> reglugerðarinnar</w:t>
      </w:r>
      <w:r w:rsidR="0061554C">
        <w:rPr>
          <w:lang w:eastAsia="en-GB"/>
        </w:rPr>
        <w:t xml:space="preserve"> </w:t>
      </w:r>
      <w:r w:rsidR="007A24DC">
        <w:rPr>
          <w:lang w:eastAsia="en-GB"/>
        </w:rPr>
        <w:t xml:space="preserve">er varða hæfar skuldbindingar og skilavald og þannig að í stað dagsetningarinnar „28. desember 2020“ í a-lið 7. efnismgr. 12. tölul. 1. gr. reglugerðarinnar kemur: 28. júní 2021. Með heimild í </w:t>
      </w:r>
      <w:r w:rsidR="007A24DC" w:rsidRPr="007A24DC">
        <w:rPr>
          <w:lang w:eastAsia="en-GB"/>
        </w:rPr>
        <w:t>ákvæði til bráðabirgða I í lögum um fjármálafyrirtæki, nr. 161/2002, sbr. lög nr. 57/2015, vísast til enskrar útgáfu reglugerðarinnar í Stjórnartíðindum Evrópusambandsins:</w:t>
      </w:r>
      <w:r w:rsidR="007A24DC">
        <w:rPr>
          <w:lang w:eastAsia="en-GB"/>
        </w:rPr>
        <w:t xml:space="preserve"> </w:t>
      </w:r>
      <w:hyperlink r:id="rId13" w:history="1">
        <w:r w:rsidR="007A24DC" w:rsidRPr="00300B55">
          <w:rPr>
            <w:rStyle w:val="Hyperlink"/>
            <w:lang w:eastAsia="en-GB"/>
          </w:rPr>
          <w:t>https://eur-lex.europa.eu/legal-content/EN/TXT/?uri=CELEX:32019R0876</w:t>
        </w:r>
      </w:hyperlink>
      <w:r w:rsidR="007A24DC">
        <w:rPr>
          <w:lang w:eastAsia="en-GB"/>
        </w:rPr>
        <w:t xml:space="preserve">. </w:t>
      </w:r>
    </w:p>
    <w:p w14:paraId="1821006D" w14:textId="3B01218F" w:rsidR="00521D79" w:rsidRDefault="00521D79" w:rsidP="003C0878">
      <w:pPr>
        <w:rPr>
          <w:lang w:eastAsia="en-GB"/>
        </w:rPr>
      </w:pPr>
      <w:r w:rsidRPr="004B2BC1">
        <w:rPr>
          <w:lang w:eastAsia="en-GB"/>
        </w:rPr>
        <w:t xml:space="preserve">2. </w:t>
      </w:r>
      <w:r w:rsidR="007E4124" w:rsidRPr="004B2BC1">
        <w:rPr>
          <w:lang w:eastAsia="en-GB"/>
        </w:rPr>
        <w:t>Reglugerð</w:t>
      </w:r>
      <w:r w:rsidRPr="004B2BC1">
        <w:rPr>
          <w:lang w:eastAsia="en-GB"/>
        </w:rPr>
        <w:t xml:space="preserve"> Evrópuþingsins og ráðsins (ESB) 2020/873 frá 24. júní 2020 um breytingu á reglugerðum (ESB) nr. 575/2013 og (ESB) 2019/876 að því er varðar ákveðnar aðlaganir til að bregðast við COVID-19-heimsfaraldrinum. Reglugerðin er birt í fylgiskjali með reglugerð þessari.</w:t>
      </w:r>
    </w:p>
    <w:p w14:paraId="451A1C41" w14:textId="77777777" w:rsidR="003C0878" w:rsidRPr="004B2BC1" w:rsidRDefault="003C0878" w:rsidP="003F2E2D">
      <w:pPr>
        <w:ind w:firstLine="0"/>
      </w:pPr>
    </w:p>
    <w:p w14:paraId="15BACE78" w14:textId="77777777" w:rsidR="00565C3D" w:rsidRPr="004B2BC1" w:rsidRDefault="00565C3D" w:rsidP="00565C3D">
      <w:pPr>
        <w:keepNext/>
        <w:tabs>
          <w:tab w:val="right" w:pos="7796"/>
        </w:tabs>
        <w:ind w:firstLine="0"/>
        <w:jc w:val="center"/>
        <w:outlineLvl w:val="2"/>
        <w:rPr>
          <w:noProof w:val="0"/>
          <w:szCs w:val="20"/>
          <w:lang w:eastAsia="en-GB"/>
        </w:rPr>
      </w:pPr>
      <w:r w:rsidRPr="004B2BC1">
        <w:rPr>
          <w:noProof w:val="0"/>
          <w:szCs w:val="20"/>
          <w:lang w:eastAsia="en-GB"/>
        </w:rPr>
        <w:t>2. gr.</w:t>
      </w:r>
    </w:p>
    <w:p w14:paraId="71B4CA68" w14:textId="2414023A" w:rsidR="00AF070A" w:rsidRDefault="00AF070A" w:rsidP="00565C3D">
      <w:r>
        <w:t>Eftirfarandi breytingar verða á</w:t>
      </w:r>
      <w:r w:rsidR="009066F8">
        <w:t xml:space="preserve"> 1. mgr.</w:t>
      </w:r>
      <w:r>
        <w:t xml:space="preserve"> 2. gr. reglugerðarinnar:</w:t>
      </w:r>
    </w:p>
    <w:p w14:paraId="0CC13767" w14:textId="71E11F3A" w:rsidR="009066F8" w:rsidRDefault="009066F8" w:rsidP="00565C3D">
      <w:r>
        <w:lastRenderedPageBreak/>
        <w:t>1. 2. tölul. málsgreinarinnar fellur brott.</w:t>
      </w:r>
    </w:p>
    <w:p w14:paraId="3A8F97CD" w14:textId="1FB92BE4" w:rsidR="00565C3D" w:rsidRPr="004B2BC1" w:rsidRDefault="002849E4" w:rsidP="00565C3D">
      <w:r>
        <w:t>2</w:t>
      </w:r>
      <w:r w:rsidR="009066F8">
        <w:t xml:space="preserve">. </w:t>
      </w:r>
      <w:r w:rsidR="00565C3D" w:rsidRPr="004B2BC1">
        <w:t xml:space="preserve">Í stað orðanna „hæfu fjármagni“ í 38. tölul. </w:t>
      </w:r>
      <w:r w:rsidR="009066F8">
        <w:t>málsgreinarinnar</w:t>
      </w:r>
      <w:r w:rsidR="00565C3D" w:rsidRPr="004B2BC1">
        <w:t xml:space="preserve"> kemur: þætti 1, sbr. 84. gr. a, 84. gr. b og 85. gr. laga um fjármálafyrirtæki, nr. 161/2002.</w:t>
      </w:r>
    </w:p>
    <w:p w14:paraId="31BF74E1" w14:textId="77777777" w:rsidR="00565C3D" w:rsidRPr="004B2BC1" w:rsidRDefault="00565C3D" w:rsidP="00565C3D"/>
    <w:p w14:paraId="18F3BAAD" w14:textId="77777777" w:rsidR="00565C3D" w:rsidRPr="004B2BC1" w:rsidRDefault="00565C3D" w:rsidP="00565C3D">
      <w:pPr>
        <w:keepNext/>
        <w:tabs>
          <w:tab w:val="right" w:pos="7796"/>
        </w:tabs>
        <w:ind w:firstLine="0"/>
        <w:jc w:val="center"/>
        <w:outlineLvl w:val="2"/>
        <w:rPr>
          <w:noProof w:val="0"/>
          <w:szCs w:val="20"/>
          <w:lang w:eastAsia="en-GB"/>
        </w:rPr>
      </w:pPr>
      <w:r w:rsidRPr="004B2BC1">
        <w:rPr>
          <w:noProof w:val="0"/>
          <w:szCs w:val="20"/>
          <w:lang w:eastAsia="en-GB"/>
        </w:rPr>
        <w:t>3. gr.</w:t>
      </w:r>
    </w:p>
    <w:p w14:paraId="594D37A4" w14:textId="77777777" w:rsidR="00565C3D" w:rsidRPr="004B2BC1" w:rsidRDefault="00565C3D" w:rsidP="00565C3D">
      <w:r w:rsidRPr="004B2BC1">
        <w:t>Orðin „og hæfu fjármagni“ í 4. mgr. 61. gr. reglugerðarinnar falla brott.</w:t>
      </w:r>
    </w:p>
    <w:p w14:paraId="025C82A5" w14:textId="77777777" w:rsidR="00565C3D" w:rsidRPr="004B2BC1" w:rsidRDefault="00565C3D" w:rsidP="00565C3D"/>
    <w:p w14:paraId="320CB548" w14:textId="77777777" w:rsidR="00565C3D" w:rsidRPr="004B2BC1" w:rsidRDefault="00565C3D" w:rsidP="00565C3D">
      <w:pPr>
        <w:keepNext/>
        <w:tabs>
          <w:tab w:val="right" w:pos="7796"/>
        </w:tabs>
        <w:ind w:firstLine="0"/>
        <w:jc w:val="center"/>
        <w:outlineLvl w:val="2"/>
        <w:rPr>
          <w:noProof w:val="0"/>
          <w:szCs w:val="20"/>
          <w:lang w:eastAsia="en-GB"/>
        </w:rPr>
      </w:pPr>
      <w:r w:rsidRPr="004B2BC1">
        <w:rPr>
          <w:noProof w:val="0"/>
          <w:szCs w:val="20"/>
          <w:lang w:eastAsia="en-GB"/>
        </w:rPr>
        <w:t>4. gr.</w:t>
      </w:r>
    </w:p>
    <w:p w14:paraId="2C934D9F" w14:textId="77777777" w:rsidR="00565C3D" w:rsidRPr="004B2BC1" w:rsidRDefault="00565C3D" w:rsidP="00565C3D">
      <w:r w:rsidRPr="004B2BC1">
        <w:t>Í stað orðanna „hæfu fjármagni“ í 3. mgr. 64. gr. reglugerðarinnar kemur: þætti 1 fyrirtækisins, sbr. 84. gr. a, 84. gr. b og 85. gr. laga um fjármálafyrirtæki, nr. 161/2002.</w:t>
      </w:r>
    </w:p>
    <w:p w14:paraId="2A159BAA" w14:textId="77777777" w:rsidR="00565C3D" w:rsidRPr="004B2BC1" w:rsidRDefault="00565C3D" w:rsidP="00565C3D"/>
    <w:p w14:paraId="1A018680" w14:textId="77777777" w:rsidR="00565C3D" w:rsidRPr="004B2BC1" w:rsidRDefault="00565C3D" w:rsidP="00565C3D">
      <w:pPr>
        <w:keepNext/>
        <w:tabs>
          <w:tab w:val="right" w:pos="7796"/>
        </w:tabs>
        <w:ind w:firstLine="0"/>
        <w:jc w:val="center"/>
        <w:outlineLvl w:val="2"/>
        <w:rPr>
          <w:noProof w:val="0"/>
          <w:szCs w:val="20"/>
          <w:lang w:eastAsia="en-GB"/>
        </w:rPr>
      </w:pPr>
      <w:r w:rsidRPr="004B2BC1">
        <w:rPr>
          <w:noProof w:val="0"/>
          <w:szCs w:val="20"/>
          <w:lang w:eastAsia="en-GB"/>
        </w:rPr>
        <w:t>5. gr.</w:t>
      </w:r>
    </w:p>
    <w:p w14:paraId="4791A9C0" w14:textId="77777777" w:rsidR="00565C3D" w:rsidRPr="004B2BC1" w:rsidRDefault="00565C3D" w:rsidP="00565C3D">
      <w:r w:rsidRPr="004B2BC1">
        <w:t>Eftirfarandi breytingar verða á 65. gr. reglugerðarinnar:</w:t>
      </w:r>
    </w:p>
    <w:p w14:paraId="3A2A0F01" w14:textId="77777777" w:rsidR="00565C3D" w:rsidRPr="004B2BC1" w:rsidRDefault="00565C3D" w:rsidP="00565C3D">
      <w:r w:rsidRPr="004B2BC1">
        <w:t>a. Í stað orðanna „hæfu fjármagni fjármálafyrirtækis“ í 1. mgr. greinarinnar kemur: þætti 1 fjármálafyrirtækis, sbr. 84. gr. a, 84. gr. b og 85. gr. laga um fjármálafyrirtæki, nr. 161/2002.</w:t>
      </w:r>
    </w:p>
    <w:p w14:paraId="7A8E748C" w14:textId="77777777" w:rsidR="00565C3D" w:rsidRPr="004B2BC1" w:rsidRDefault="00565C3D" w:rsidP="00565C3D">
      <w:r w:rsidRPr="004B2BC1">
        <w:t xml:space="preserve">b. Í stað orðanna „hæfu fjármagni“ </w:t>
      </w:r>
      <w:r w:rsidR="003222E9" w:rsidRPr="004B2BC1">
        <w:t>alls staðar</w:t>
      </w:r>
      <w:r w:rsidRPr="004B2BC1">
        <w:t xml:space="preserve"> í 2.</w:t>
      </w:r>
      <w:r w:rsidR="003222E9" w:rsidRPr="004B2BC1">
        <w:t xml:space="preserve"> og 3.</w:t>
      </w:r>
      <w:r w:rsidRPr="004B2BC1">
        <w:t xml:space="preserve"> mgr. kemur: þætti 1.</w:t>
      </w:r>
    </w:p>
    <w:p w14:paraId="461A213C" w14:textId="77777777" w:rsidR="00565C3D" w:rsidRPr="004B2BC1" w:rsidRDefault="00565C3D" w:rsidP="00565C3D"/>
    <w:p w14:paraId="7379D6BB" w14:textId="77777777" w:rsidR="00BF3E84" w:rsidRPr="004B2BC1" w:rsidRDefault="00BF3E84" w:rsidP="00BF3E84">
      <w:pPr>
        <w:keepNext/>
        <w:tabs>
          <w:tab w:val="right" w:pos="7796"/>
        </w:tabs>
        <w:ind w:firstLine="0"/>
        <w:jc w:val="center"/>
        <w:outlineLvl w:val="2"/>
        <w:rPr>
          <w:noProof w:val="0"/>
          <w:szCs w:val="20"/>
          <w:lang w:eastAsia="en-GB"/>
        </w:rPr>
      </w:pPr>
      <w:r w:rsidRPr="004B2BC1">
        <w:rPr>
          <w:noProof w:val="0"/>
          <w:szCs w:val="20"/>
          <w:lang w:eastAsia="en-GB"/>
        </w:rPr>
        <w:t>6. gr.</w:t>
      </w:r>
    </w:p>
    <w:p w14:paraId="242FBF45" w14:textId="77777777" w:rsidR="00BF3E84" w:rsidRPr="004B2BC1" w:rsidRDefault="00BF3E84" w:rsidP="00BF3E84">
      <w:r w:rsidRPr="004B2BC1">
        <w:t>Í stað orðanna „hæfu fjármagni“ í 2. mgr. 66. gr. reglugerðarinnar kemur: þætti 1, sbr. 84. gr. a, 84. gr. b og 85. gr. laga um fjármálafyrirtæki, nr. 161/2002.</w:t>
      </w:r>
    </w:p>
    <w:p w14:paraId="56C96CF1" w14:textId="77777777" w:rsidR="009B0361" w:rsidRPr="004B2BC1" w:rsidRDefault="009B0361" w:rsidP="00BF3E84"/>
    <w:p w14:paraId="08654035" w14:textId="77777777" w:rsidR="009B0361" w:rsidRPr="004B2BC1" w:rsidRDefault="009B0361" w:rsidP="009B0361">
      <w:pPr>
        <w:keepNext/>
        <w:tabs>
          <w:tab w:val="right" w:pos="7796"/>
        </w:tabs>
        <w:ind w:firstLine="0"/>
        <w:jc w:val="center"/>
        <w:outlineLvl w:val="2"/>
        <w:rPr>
          <w:noProof w:val="0"/>
          <w:szCs w:val="20"/>
          <w:lang w:eastAsia="en-GB"/>
        </w:rPr>
      </w:pPr>
      <w:r w:rsidRPr="004B2BC1">
        <w:rPr>
          <w:noProof w:val="0"/>
          <w:szCs w:val="20"/>
          <w:lang w:eastAsia="en-GB"/>
        </w:rPr>
        <w:t>7. gr.</w:t>
      </w:r>
    </w:p>
    <w:p w14:paraId="2F5CDEE3" w14:textId="77777777" w:rsidR="009B0361" w:rsidRPr="004B2BC1" w:rsidRDefault="009B0361" w:rsidP="009B0361">
      <w:r w:rsidRPr="004B2BC1">
        <w:t>Í stað orðanna „hæfu fjármagni“ í 3. mgr. 67. gr. reglugerðarinnar kemur: þætti 1, sbr. 84. gr. a, 84. gr. b og 85. gr. laga um fjármálafyrirtæki, nr. 161/2002.</w:t>
      </w:r>
    </w:p>
    <w:p w14:paraId="18DF75B2" w14:textId="77777777" w:rsidR="00BF3E84" w:rsidRPr="004B2BC1" w:rsidRDefault="00BF3E84" w:rsidP="00BF3E84"/>
    <w:p w14:paraId="4FB2EF3A" w14:textId="77777777" w:rsidR="00BF3E84" w:rsidRPr="004B2BC1" w:rsidRDefault="009B0361" w:rsidP="00BF3E84">
      <w:pPr>
        <w:keepNext/>
        <w:tabs>
          <w:tab w:val="right" w:pos="7796"/>
        </w:tabs>
        <w:ind w:firstLine="0"/>
        <w:jc w:val="center"/>
        <w:outlineLvl w:val="2"/>
        <w:rPr>
          <w:noProof w:val="0"/>
          <w:szCs w:val="20"/>
          <w:lang w:eastAsia="en-GB"/>
        </w:rPr>
      </w:pPr>
      <w:r w:rsidRPr="004B2BC1">
        <w:rPr>
          <w:noProof w:val="0"/>
          <w:szCs w:val="20"/>
          <w:lang w:eastAsia="en-GB"/>
        </w:rPr>
        <w:t>8</w:t>
      </w:r>
      <w:r w:rsidR="00BF3E84" w:rsidRPr="004B2BC1">
        <w:rPr>
          <w:noProof w:val="0"/>
          <w:szCs w:val="20"/>
          <w:lang w:eastAsia="en-GB"/>
        </w:rPr>
        <w:t>. gr.</w:t>
      </w:r>
    </w:p>
    <w:p w14:paraId="1E905B70" w14:textId="77777777" w:rsidR="003222E9" w:rsidRPr="004B2BC1" w:rsidRDefault="003222E9" w:rsidP="00BF3E84">
      <w:r w:rsidRPr="004B2BC1">
        <w:t>Eftirfarandi breytingar verða á 69. gr. reglugerðarinnar:</w:t>
      </w:r>
    </w:p>
    <w:p w14:paraId="2310A996" w14:textId="77777777" w:rsidR="00BF3E84" w:rsidRPr="004B2BC1" w:rsidRDefault="00BF3E84" w:rsidP="00BF3E84">
      <w:r w:rsidRPr="004B2BC1">
        <w:t xml:space="preserve">a. Í stað orðanna „hæfu fjármagni“ í töflu </w:t>
      </w:r>
      <w:r w:rsidR="003222E9" w:rsidRPr="004B2BC1">
        <w:t xml:space="preserve">í 2. mgr. </w:t>
      </w:r>
      <w:r w:rsidRPr="004B2BC1">
        <w:t>kemur: þætti 1, sbr. 84. gr. a, 84. gr. b og 85. gr. laga um fjármálafyrirtæki, nr. 161/2002.</w:t>
      </w:r>
    </w:p>
    <w:p w14:paraId="5146A76C" w14:textId="77777777" w:rsidR="00BF3E84" w:rsidRPr="004B2BC1" w:rsidRDefault="00BF3E84" w:rsidP="00BF3E84">
      <w:r w:rsidRPr="004B2BC1">
        <w:t xml:space="preserve">b. Í stað orðanna „hæfu fjármagni“ í </w:t>
      </w:r>
      <w:r w:rsidR="003222E9" w:rsidRPr="004B2BC1">
        <w:t>3</w:t>
      </w:r>
      <w:r w:rsidRPr="004B2BC1">
        <w:t xml:space="preserve">. og </w:t>
      </w:r>
      <w:r w:rsidR="003222E9" w:rsidRPr="004B2BC1">
        <w:t>4</w:t>
      </w:r>
      <w:r w:rsidRPr="004B2BC1">
        <w:t>. mgr. kemur: þætti 1.</w:t>
      </w:r>
    </w:p>
    <w:p w14:paraId="1E91C276" w14:textId="77777777" w:rsidR="00565C3D" w:rsidRPr="004B2BC1" w:rsidRDefault="00565C3D" w:rsidP="003C0878">
      <w:pPr>
        <w:keepNext/>
        <w:tabs>
          <w:tab w:val="right" w:pos="7796"/>
        </w:tabs>
        <w:ind w:firstLine="0"/>
        <w:jc w:val="center"/>
        <w:outlineLvl w:val="2"/>
        <w:rPr>
          <w:noProof w:val="0"/>
          <w:szCs w:val="20"/>
          <w:lang w:eastAsia="en-GB"/>
        </w:rPr>
      </w:pPr>
    </w:p>
    <w:p w14:paraId="5F7D3138" w14:textId="77777777" w:rsidR="004F6FDD" w:rsidRPr="004B2BC1" w:rsidRDefault="004F6FDD" w:rsidP="004F6FDD">
      <w:pPr>
        <w:keepNext/>
        <w:tabs>
          <w:tab w:val="right" w:pos="7796"/>
        </w:tabs>
        <w:ind w:firstLine="0"/>
        <w:jc w:val="center"/>
        <w:outlineLvl w:val="2"/>
        <w:rPr>
          <w:noProof w:val="0"/>
          <w:szCs w:val="20"/>
          <w:lang w:eastAsia="en-GB"/>
        </w:rPr>
      </w:pPr>
      <w:r w:rsidRPr="004B2BC1">
        <w:rPr>
          <w:noProof w:val="0"/>
          <w:szCs w:val="20"/>
          <w:lang w:eastAsia="en-GB"/>
        </w:rPr>
        <w:t>9. gr.</w:t>
      </w:r>
    </w:p>
    <w:p w14:paraId="60D62255" w14:textId="37C0748F" w:rsidR="004F6FDD" w:rsidRDefault="004F6FDD" w:rsidP="004F6FDD">
      <w:r>
        <w:t>Í stað orðanna „</w:t>
      </w:r>
      <w:r w:rsidRPr="004F6FDD">
        <w:t>hæft fjármagn fjármálafyrirtækis</w:t>
      </w:r>
      <w:r>
        <w:t xml:space="preserve">“ í 2. mgr. 72. gr. reglugerðarinnar kemur: </w:t>
      </w:r>
      <w:r w:rsidRPr="004F6FDD">
        <w:t>eiginfjárgrunn fjármálafyrirtækis</w:t>
      </w:r>
      <w:r>
        <w:t>.</w:t>
      </w:r>
    </w:p>
    <w:p w14:paraId="33174E17" w14:textId="77777777" w:rsidR="004F6FDD" w:rsidRDefault="004F6FDD" w:rsidP="00A733AD">
      <w:pPr>
        <w:keepNext/>
        <w:tabs>
          <w:tab w:val="right" w:pos="7796"/>
        </w:tabs>
        <w:ind w:firstLine="0"/>
        <w:jc w:val="center"/>
        <w:outlineLvl w:val="2"/>
        <w:rPr>
          <w:noProof w:val="0"/>
          <w:szCs w:val="20"/>
          <w:lang w:eastAsia="en-GB"/>
        </w:rPr>
      </w:pPr>
    </w:p>
    <w:p w14:paraId="58DDF5BE" w14:textId="115E5281" w:rsidR="00A733AD" w:rsidRPr="004B2BC1" w:rsidRDefault="004F6FDD" w:rsidP="00A733AD">
      <w:pPr>
        <w:keepNext/>
        <w:tabs>
          <w:tab w:val="right" w:pos="7796"/>
        </w:tabs>
        <w:ind w:firstLine="0"/>
        <w:jc w:val="center"/>
        <w:outlineLvl w:val="2"/>
        <w:rPr>
          <w:noProof w:val="0"/>
          <w:szCs w:val="20"/>
          <w:lang w:eastAsia="en-GB"/>
        </w:rPr>
      </w:pPr>
      <w:r>
        <w:rPr>
          <w:noProof w:val="0"/>
          <w:szCs w:val="20"/>
          <w:lang w:eastAsia="en-GB"/>
        </w:rPr>
        <w:t>10</w:t>
      </w:r>
      <w:r w:rsidR="00A733AD" w:rsidRPr="004B2BC1">
        <w:rPr>
          <w:noProof w:val="0"/>
          <w:szCs w:val="20"/>
          <w:lang w:eastAsia="en-GB"/>
        </w:rPr>
        <w:t>. gr.</w:t>
      </w:r>
    </w:p>
    <w:p w14:paraId="37122A1F" w14:textId="77777777" w:rsidR="00372D49" w:rsidRDefault="00A733AD" w:rsidP="00A733AD">
      <w:r w:rsidRPr="004B2BC1">
        <w:t xml:space="preserve">Á undan fylgiskjali við reglugerðina koma </w:t>
      </w:r>
      <w:r w:rsidR="007A24DC">
        <w:t>tvö</w:t>
      </w:r>
      <w:r w:rsidRPr="004B2BC1">
        <w:t xml:space="preserve"> ný fylgiskjöl, svohljóðandi:</w:t>
      </w:r>
    </w:p>
    <w:p w14:paraId="02043CBB" w14:textId="77777777" w:rsidR="00372D49" w:rsidRDefault="00372D49" w:rsidP="00A733AD"/>
    <w:p w14:paraId="3720D3D7" w14:textId="143B7D40" w:rsidR="007A24DC" w:rsidRPr="0035232E" w:rsidRDefault="00372D49" w:rsidP="00372D49">
      <w:pPr>
        <w:ind w:firstLine="0"/>
        <w:rPr>
          <w:rFonts w:ascii="Times New Roman" w:hAnsi="Times New Roman"/>
          <w:szCs w:val="21"/>
          <w:u w:val="single"/>
        </w:rPr>
      </w:pPr>
      <w:r w:rsidRPr="0035232E">
        <w:rPr>
          <w:rFonts w:ascii="Times New Roman" w:hAnsi="Times New Roman"/>
          <w:b/>
          <w:bCs/>
          <w:szCs w:val="21"/>
          <w:u w:val="single"/>
        </w:rPr>
        <w:t>Fylgiskjal I.</w:t>
      </w:r>
      <w:r w:rsidR="00A733AD" w:rsidRPr="0035232E">
        <w:rPr>
          <w:rFonts w:ascii="Times New Roman" w:hAnsi="Times New Roman"/>
          <w:szCs w:val="21"/>
          <w:u w:val="single"/>
        </w:rPr>
        <w:t xml:space="preserve"> </w:t>
      </w:r>
    </w:p>
    <w:p w14:paraId="139633A6" w14:textId="04481996" w:rsidR="00372D49" w:rsidRPr="0035232E" w:rsidRDefault="00372D49" w:rsidP="00A733AD">
      <w:pPr>
        <w:rPr>
          <w:rFonts w:ascii="Times New Roman" w:hAnsi="Times New Roman"/>
          <w:szCs w:val="21"/>
        </w:rPr>
      </w:pPr>
    </w:p>
    <w:p w14:paraId="1C8C9689" w14:textId="77777777" w:rsidR="00372D49" w:rsidRPr="0035232E" w:rsidRDefault="00372D49" w:rsidP="00372D49">
      <w:pPr>
        <w:keepNext/>
        <w:tabs>
          <w:tab w:val="clear" w:pos="397"/>
          <w:tab w:val="clear" w:pos="709"/>
        </w:tabs>
        <w:suppressAutoHyphens/>
        <w:spacing w:after="120" w:line="240" w:lineRule="exact"/>
        <w:ind w:firstLine="0"/>
        <w:jc w:val="center"/>
        <w:outlineLvl w:val="2"/>
        <w:rPr>
          <w:rFonts w:ascii="Times New Roman" w:eastAsia="Calibri" w:hAnsi="Times New Roman"/>
          <w:b/>
          <w:noProof w:val="0"/>
          <w:szCs w:val="21"/>
          <w14:ligatures w14:val="standard"/>
        </w:rPr>
      </w:pPr>
      <w:r w:rsidRPr="0035232E">
        <w:rPr>
          <w:rFonts w:ascii="Times New Roman" w:eastAsia="Calibri" w:hAnsi="Times New Roman"/>
          <w:b/>
          <w:caps/>
          <w:noProof w:val="0"/>
          <w:szCs w:val="21"/>
          <w14:ligatures w14:val="standard"/>
        </w:rPr>
        <w:t>Framseld reglugerð framkvæmdastjórnarinnar</w:t>
      </w:r>
      <w:r w:rsidRPr="0035232E">
        <w:rPr>
          <w:rFonts w:ascii="Times New Roman" w:eastAsia="Calibri" w:hAnsi="Times New Roman"/>
          <w:b/>
          <w:noProof w:val="0"/>
          <w:szCs w:val="21"/>
          <w14:ligatures w14:val="standard"/>
        </w:rPr>
        <w:t xml:space="preserve"> (ESB) 2017/2188</w:t>
      </w:r>
    </w:p>
    <w:p w14:paraId="5877B426" w14:textId="77777777" w:rsidR="00372D49" w:rsidRPr="0035232E" w:rsidRDefault="00372D49" w:rsidP="00372D49">
      <w:pPr>
        <w:keepNext/>
        <w:tabs>
          <w:tab w:val="clear" w:pos="397"/>
          <w:tab w:val="clear" w:pos="709"/>
        </w:tabs>
        <w:suppressAutoHyphens/>
        <w:spacing w:after="120" w:line="240" w:lineRule="exact"/>
        <w:ind w:firstLine="0"/>
        <w:jc w:val="center"/>
        <w:outlineLvl w:val="2"/>
        <w:rPr>
          <w:rFonts w:ascii="Times New Roman" w:eastAsia="Calibri" w:hAnsi="Times New Roman"/>
          <w:b/>
          <w:noProof w:val="0"/>
          <w:szCs w:val="21"/>
          <w14:ligatures w14:val="standard"/>
        </w:rPr>
      </w:pPr>
      <w:r w:rsidRPr="0035232E">
        <w:rPr>
          <w:rFonts w:ascii="Times New Roman" w:eastAsia="Calibri" w:hAnsi="Times New Roman"/>
          <w:b/>
          <w:noProof w:val="0"/>
          <w:szCs w:val="21"/>
          <w14:ligatures w14:val="standard"/>
        </w:rPr>
        <w:t>frá 11. ágúst 2017</w:t>
      </w:r>
    </w:p>
    <w:p w14:paraId="0347005B" w14:textId="77777777" w:rsidR="00372D49" w:rsidRPr="0035232E" w:rsidRDefault="00372D49" w:rsidP="00372D49">
      <w:pPr>
        <w:keepNext/>
        <w:tabs>
          <w:tab w:val="clear" w:pos="397"/>
          <w:tab w:val="clear" w:pos="709"/>
        </w:tabs>
        <w:suppressAutoHyphens/>
        <w:spacing w:after="360" w:line="240" w:lineRule="exact"/>
        <w:ind w:firstLine="0"/>
        <w:jc w:val="center"/>
        <w:outlineLvl w:val="2"/>
        <w:rPr>
          <w:rFonts w:ascii="Times New Roman" w:eastAsia="Calibri" w:hAnsi="Times New Roman"/>
          <w:b/>
          <w:noProof w:val="0"/>
          <w:szCs w:val="21"/>
          <w14:ligatures w14:val="standard"/>
        </w:rPr>
      </w:pPr>
      <w:r w:rsidRPr="0035232E">
        <w:rPr>
          <w:rFonts w:ascii="Times New Roman" w:eastAsia="Calibri" w:hAnsi="Times New Roman"/>
          <w:b/>
          <w:noProof w:val="0"/>
          <w:szCs w:val="21"/>
          <w14:ligatures w14:val="standard"/>
        </w:rPr>
        <w:t>um breytingu á reglugerð Evrópuþingsins og ráðsins (ESB) nr. 575/2013 að því er varðar undanþágu á kröfum vegna eiginfjárgrunns að því er varðar tiltekin sértryggð skuldabréf</w:t>
      </w:r>
    </w:p>
    <w:p w14:paraId="55E561C6" w14:textId="77777777" w:rsidR="00372D49" w:rsidRPr="0035232E" w:rsidRDefault="00372D49" w:rsidP="00372D49">
      <w:pPr>
        <w:tabs>
          <w:tab w:val="clear" w:pos="397"/>
          <w:tab w:val="clear" w:pos="709"/>
        </w:tabs>
        <w:spacing w:before="240" w:after="240" w:line="200" w:lineRule="exact"/>
        <w:ind w:firstLine="0"/>
        <w:rPr>
          <w:rFonts w:ascii="Times New Roman" w:eastAsia="Calibri" w:hAnsi="Times New Roman"/>
          <w:noProof w:val="0"/>
          <w:szCs w:val="21"/>
          <w14:ligatures w14:val="standard"/>
        </w:rPr>
      </w:pPr>
      <w:r w:rsidRPr="0035232E">
        <w:rPr>
          <w:rFonts w:ascii="Times New Roman" w:eastAsia="Calibri" w:hAnsi="Times New Roman"/>
          <w:noProof w:val="0"/>
          <w:szCs w:val="21"/>
          <w14:ligatures w14:val="standard"/>
        </w:rPr>
        <w:t>FRAMKVÆMDASTJÓRN EVRÓPUSAMBANDSINS HEFUR,</w:t>
      </w:r>
    </w:p>
    <w:p w14:paraId="5BE4C40B" w14:textId="77777777" w:rsidR="00372D49" w:rsidRPr="0035232E" w:rsidRDefault="00372D49" w:rsidP="00372D49">
      <w:pPr>
        <w:tabs>
          <w:tab w:val="clear" w:pos="397"/>
          <w:tab w:val="clear" w:pos="709"/>
        </w:tabs>
        <w:spacing w:after="200" w:line="240" w:lineRule="exact"/>
        <w:ind w:firstLine="0"/>
        <w:rPr>
          <w:rFonts w:ascii="Times New Roman" w:eastAsia="Calibri" w:hAnsi="Times New Roman"/>
          <w:noProof w:val="0"/>
          <w:szCs w:val="21"/>
          <w14:ligatures w14:val="standard"/>
        </w:rPr>
      </w:pPr>
      <w:r w:rsidRPr="0035232E">
        <w:rPr>
          <w:rFonts w:ascii="Times New Roman" w:eastAsia="Calibri" w:hAnsi="Times New Roman"/>
          <w:noProof w:val="0"/>
          <w:szCs w:val="21"/>
          <w14:ligatures w14:val="standard"/>
        </w:rPr>
        <w:t>með hliðsjón af sáttmálanum um starfshætti Evrópusambandsins,</w:t>
      </w:r>
    </w:p>
    <w:p w14:paraId="7241C60A" w14:textId="77777777" w:rsidR="00372D49" w:rsidRPr="0035232E" w:rsidRDefault="00372D49" w:rsidP="00372D49">
      <w:pPr>
        <w:tabs>
          <w:tab w:val="clear" w:pos="397"/>
          <w:tab w:val="clear" w:pos="709"/>
        </w:tabs>
        <w:spacing w:after="200" w:line="240" w:lineRule="exact"/>
        <w:ind w:firstLine="0"/>
        <w:rPr>
          <w:rFonts w:ascii="Times New Roman" w:eastAsia="Calibri" w:hAnsi="Times New Roman"/>
          <w:noProof w:val="0"/>
          <w:szCs w:val="21"/>
          <w14:ligatures w14:val="standard"/>
        </w:rPr>
      </w:pPr>
      <w:r w:rsidRPr="0035232E">
        <w:rPr>
          <w:rFonts w:ascii="Times New Roman" w:eastAsia="Calibri" w:hAnsi="Times New Roman"/>
          <w:noProof w:val="0"/>
          <w:szCs w:val="21"/>
          <w14:ligatures w14:val="standard"/>
        </w:rPr>
        <w:lastRenderedPageBreak/>
        <w:t>með hliðsjón af reglugerð Evrópuþingsins og ráðsins (ESB) nr. 575/2013 frá 26. júní 2013 um varfærniskröfur að því er varðar lánastofnanir og verðbréfafyrirtæki (</w:t>
      </w:r>
      <w:bookmarkStart w:id="1" w:name="NOTE_1"/>
      <w:r w:rsidRPr="0035232E">
        <w:rPr>
          <w:rFonts w:ascii="Times New Roman" w:eastAsia="Calibri" w:hAnsi="Times New Roman"/>
          <w:noProof w:val="0"/>
          <w:position w:val="-2"/>
          <w:szCs w:val="21"/>
          <w:vertAlign w:val="superscript"/>
          <w14:ligatures w14:val="standard"/>
        </w:rPr>
        <w:footnoteReference w:id="1"/>
      </w:r>
      <w:bookmarkEnd w:id="1"/>
      <w:r w:rsidRPr="0035232E">
        <w:rPr>
          <w:rFonts w:ascii="Times New Roman" w:eastAsia="Calibri" w:hAnsi="Times New Roman"/>
          <w:noProof w:val="0"/>
          <w:szCs w:val="21"/>
          <w14:ligatures w14:val="standard"/>
        </w:rPr>
        <w:t>), einkum 4. mgr. 503. gr.,</w:t>
      </w:r>
    </w:p>
    <w:p w14:paraId="60576AFC" w14:textId="77777777" w:rsidR="00372D49" w:rsidRPr="0035232E" w:rsidRDefault="00372D49" w:rsidP="00372D49">
      <w:pPr>
        <w:tabs>
          <w:tab w:val="clear" w:pos="397"/>
          <w:tab w:val="clear" w:pos="709"/>
        </w:tabs>
        <w:spacing w:after="200" w:line="240" w:lineRule="exact"/>
        <w:ind w:firstLine="0"/>
        <w:rPr>
          <w:rFonts w:ascii="Times New Roman" w:eastAsia="Calibri" w:hAnsi="Times New Roman"/>
          <w:noProof w:val="0"/>
          <w:szCs w:val="21"/>
          <w14:ligatures w14:val="standard"/>
        </w:rPr>
      </w:pPr>
      <w:r w:rsidRPr="0035232E">
        <w:rPr>
          <w:rFonts w:ascii="Times New Roman" w:eastAsia="Calibri" w:hAnsi="Times New Roman"/>
          <w:i/>
          <w:iCs/>
          <w:noProof w:val="0"/>
          <w:szCs w:val="21"/>
          <w14:ligatures w14:val="standard"/>
        </w:rPr>
        <w:t>og að teknu tilliti til eftirfarandi:</w:t>
      </w:r>
    </w:p>
    <w:p w14:paraId="14B04168" w14:textId="77777777" w:rsidR="00372D49" w:rsidRPr="0035232E" w:rsidRDefault="00372D49" w:rsidP="00372D49">
      <w:pPr>
        <w:tabs>
          <w:tab w:val="clear" w:pos="397"/>
          <w:tab w:val="clear" w:pos="709"/>
        </w:tabs>
        <w:spacing w:after="200" w:line="240" w:lineRule="exact"/>
        <w:ind w:left="540" w:hanging="540"/>
        <w:rPr>
          <w:rFonts w:ascii="Times New Roman" w:eastAsia="Calibri" w:hAnsi="Times New Roman"/>
          <w:noProof w:val="0"/>
          <w:szCs w:val="21"/>
          <w14:ligatures w14:val="standard"/>
        </w:rPr>
      </w:pPr>
      <w:r w:rsidRPr="0035232E">
        <w:rPr>
          <w:rFonts w:ascii="Times New Roman" w:eastAsia="Calibri" w:hAnsi="Times New Roman"/>
          <w:noProof w:val="0"/>
          <w:szCs w:val="21"/>
          <w14:ligatures w14:val="standard"/>
        </w:rPr>
        <w:t>1)</w:t>
      </w:r>
      <w:r w:rsidRPr="0035232E">
        <w:rPr>
          <w:rFonts w:ascii="Times New Roman" w:eastAsia="Calibri" w:hAnsi="Times New Roman"/>
          <w:noProof w:val="0"/>
          <w:szCs w:val="21"/>
          <w14:ligatures w14:val="standard"/>
        </w:rPr>
        <w:tab/>
        <w:t xml:space="preserve">Ákvæði 496. gr. reglugerðar (ESB) nr. 575/2013 heimila </w:t>
      </w:r>
      <w:proofErr w:type="spellStart"/>
      <w:r w:rsidRPr="0035232E">
        <w:rPr>
          <w:rFonts w:ascii="Times New Roman" w:eastAsia="Calibri" w:hAnsi="Times New Roman"/>
          <w:noProof w:val="0"/>
          <w:szCs w:val="21"/>
          <w14:ligatures w14:val="standard"/>
        </w:rPr>
        <w:t>lögbærum</w:t>
      </w:r>
      <w:proofErr w:type="spellEnd"/>
      <w:r w:rsidRPr="0035232E">
        <w:rPr>
          <w:rFonts w:ascii="Times New Roman" w:eastAsia="Calibri" w:hAnsi="Times New Roman"/>
          <w:noProof w:val="0"/>
          <w:szCs w:val="21"/>
          <w14:ligatures w14:val="standard"/>
        </w:rPr>
        <w:t xml:space="preserve"> yfirvöldum að veita undanþágu fyrir tiltekin sértryggð skuldabréf fram til 31. desember 2017 frá 10% viðmiðunarmörkunum sem um getur í ii. lið </w:t>
      </w:r>
      <w:proofErr w:type="spellStart"/>
      <w:r w:rsidRPr="0035232E">
        <w:rPr>
          <w:rFonts w:ascii="Times New Roman" w:eastAsia="Calibri" w:hAnsi="Times New Roman"/>
          <w:noProof w:val="0"/>
          <w:szCs w:val="21"/>
          <w14:ligatures w14:val="standard"/>
        </w:rPr>
        <w:t>d-liðar</w:t>
      </w:r>
      <w:proofErr w:type="spellEnd"/>
      <w:r w:rsidRPr="0035232E">
        <w:rPr>
          <w:rFonts w:ascii="Times New Roman" w:eastAsia="Calibri" w:hAnsi="Times New Roman"/>
          <w:noProof w:val="0"/>
          <w:szCs w:val="21"/>
          <w14:ligatures w14:val="standard"/>
        </w:rPr>
        <w:t xml:space="preserve"> 1. mgr. 129. gr. þeirrar reglugerðar og ii. lið </w:t>
      </w:r>
      <w:proofErr w:type="spellStart"/>
      <w:r w:rsidRPr="0035232E">
        <w:rPr>
          <w:rFonts w:ascii="Times New Roman" w:eastAsia="Calibri" w:hAnsi="Times New Roman"/>
          <w:noProof w:val="0"/>
          <w:szCs w:val="21"/>
          <w14:ligatures w14:val="standard"/>
        </w:rPr>
        <w:t>f-liðar</w:t>
      </w:r>
      <w:proofErr w:type="spellEnd"/>
      <w:r w:rsidRPr="0035232E">
        <w:rPr>
          <w:rFonts w:ascii="Times New Roman" w:eastAsia="Calibri" w:hAnsi="Times New Roman"/>
          <w:noProof w:val="0"/>
          <w:szCs w:val="21"/>
          <w14:ligatures w14:val="standard"/>
        </w:rPr>
        <w:t xml:space="preserve"> 1. mgr. 129. gr. þeirrar reglugerðar.</w:t>
      </w:r>
    </w:p>
    <w:p w14:paraId="48C9EFEC" w14:textId="77777777" w:rsidR="00372D49" w:rsidRPr="0035232E" w:rsidRDefault="00372D49" w:rsidP="00372D49">
      <w:pPr>
        <w:tabs>
          <w:tab w:val="clear" w:pos="397"/>
          <w:tab w:val="clear" w:pos="709"/>
        </w:tabs>
        <w:spacing w:after="200" w:line="240" w:lineRule="exact"/>
        <w:ind w:left="540" w:hanging="540"/>
        <w:rPr>
          <w:rFonts w:ascii="Times New Roman" w:eastAsia="Calibri" w:hAnsi="Times New Roman"/>
          <w:noProof w:val="0"/>
          <w:szCs w:val="21"/>
          <w14:ligatures w14:val="standard"/>
        </w:rPr>
      </w:pPr>
      <w:r w:rsidRPr="0035232E">
        <w:rPr>
          <w:rFonts w:ascii="Times New Roman" w:eastAsia="Calibri" w:hAnsi="Times New Roman"/>
          <w:noProof w:val="0"/>
          <w:szCs w:val="21"/>
          <w14:ligatures w14:val="standard"/>
        </w:rPr>
        <w:t>2)</w:t>
      </w:r>
      <w:r w:rsidRPr="0035232E">
        <w:rPr>
          <w:rFonts w:ascii="Times New Roman" w:eastAsia="Calibri" w:hAnsi="Times New Roman"/>
          <w:noProof w:val="0"/>
          <w:szCs w:val="21"/>
          <w14:ligatures w14:val="standard"/>
        </w:rPr>
        <w:tab/>
        <w:t xml:space="preserve">Ákvæði 4. mgr. 503. gr. reglugerðar (ESB) nr. 575/2013 skyldar framkvæmdastjórnina til að endurskoða þennan möguleika með tilliti til þess hversu tilhlýðilegur hann er fyrir </w:t>
      </w:r>
      <w:proofErr w:type="spellStart"/>
      <w:r w:rsidRPr="0035232E">
        <w:rPr>
          <w:rFonts w:ascii="Times New Roman" w:eastAsia="Calibri" w:hAnsi="Times New Roman"/>
          <w:noProof w:val="0"/>
          <w:szCs w:val="21"/>
          <w14:ligatures w14:val="standard"/>
        </w:rPr>
        <w:t>lögbær</w:t>
      </w:r>
      <w:proofErr w:type="spellEnd"/>
      <w:r w:rsidRPr="0035232E">
        <w:rPr>
          <w:rFonts w:ascii="Times New Roman" w:eastAsia="Calibri" w:hAnsi="Times New Roman"/>
          <w:noProof w:val="0"/>
          <w:szCs w:val="21"/>
          <w14:ligatures w14:val="standard"/>
        </w:rPr>
        <w:t xml:space="preserve"> yfirvöld og ákvarða hvort hann eigi að vera til frambúðar. Framkvæmdastjórnin óskaði eftir að Evrópska bankaeftirlitsstofnunin veitti tækniráðgjöf um þetta atriði. Sú ósk leiddi til þess að unnin var „Skýrsla um regluramma og meðhöndlun fjármagns fyrir sértryggð skuldabréf í ESB“. Framkvæmdastjórnin notaði þá skýrslu til meta enn frekar gildandi eftirlits- og reglufyrirkomulag um sértryggð skuldabréf og lagði í framhaldinu skýrslu fyrir Evrópuþingið og ráðið um 503. gr. reglugerðar (ESB) nr. 575/2013.</w:t>
      </w:r>
    </w:p>
    <w:p w14:paraId="060612F8" w14:textId="77777777" w:rsidR="00372D49" w:rsidRPr="0035232E" w:rsidRDefault="00372D49" w:rsidP="00372D49">
      <w:pPr>
        <w:tabs>
          <w:tab w:val="clear" w:pos="397"/>
          <w:tab w:val="clear" w:pos="709"/>
        </w:tabs>
        <w:spacing w:after="200" w:line="240" w:lineRule="exact"/>
        <w:ind w:left="540" w:hanging="540"/>
        <w:rPr>
          <w:rFonts w:ascii="Times New Roman" w:eastAsia="Calibri" w:hAnsi="Times New Roman"/>
          <w:noProof w:val="0"/>
          <w:szCs w:val="21"/>
          <w14:ligatures w14:val="standard"/>
        </w:rPr>
      </w:pPr>
      <w:r w:rsidRPr="0035232E">
        <w:rPr>
          <w:rFonts w:ascii="Times New Roman" w:eastAsia="Calibri" w:hAnsi="Times New Roman"/>
          <w:noProof w:val="0"/>
          <w:szCs w:val="21"/>
          <w14:ligatures w14:val="standard"/>
        </w:rPr>
        <w:t>3)</w:t>
      </w:r>
      <w:r w:rsidRPr="0035232E">
        <w:rPr>
          <w:rFonts w:ascii="Times New Roman" w:eastAsia="Calibri" w:hAnsi="Times New Roman"/>
          <w:noProof w:val="0"/>
          <w:szCs w:val="21"/>
          <w14:ligatures w14:val="standard"/>
        </w:rPr>
        <w:tab/>
        <w:t xml:space="preserve">Skýrslan leiddi í ljós að einungis takmarkaður hluti landsbundinna regluramma fyrir sértryggð skuldabréf heimilar að verðbréf, tryggð með fasteignaveði í íbúðar- eða atvinnuhúsnæði eða safni </w:t>
      </w:r>
      <w:proofErr w:type="spellStart"/>
      <w:r w:rsidRPr="0035232E">
        <w:rPr>
          <w:rFonts w:ascii="Times New Roman" w:eastAsia="Calibri" w:hAnsi="Times New Roman"/>
          <w:noProof w:val="0"/>
          <w:szCs w:val="21"/>
          <w14:ligatures w14:val="standard"/>
        </w:rPr>
        <w:t>sértryggðra</w:t>
      </w:r>
      <w:proofErr w:type="spellEnd"/>
      <w:r w:rsidRPr="0035232E">
        <w:rPr>
          <w:rFonts w:ascii="Times New Roman" w:eastAsia="Calibri" w:hAnsi="Times New Roman"/>
          <w:noProof w:val="0"/>
          <w:szCs w:val="21"/>
          <w14:ligatures w14:val="standard"/>
        </w:rPr>
        <w:t xml:space="preserve"> skuldabréfa innan samstæðu, séu tekin með. Þar sem sumar stofnanir treysta í rekstrarlíkönum sínum á að </w:t>
      </w:r>
      <w:proofErr w:type="spellStart"/>
      <w:r w:rsidRPr="0035232E">
        <w:rPr>
          <w:rFonts w:ascii="Times New Roman" w:eastAsia="Calibri" w:hAnsi="Times New Roman"/>
          <w:noProof w:val="0"/>
          <w:szCs w:val="21"/>
          <w14:ligatures w14:val="standard"/>
        </w:rPr>
        <w:t>lögbær</w:t>
      </w:r>
      <w:proofErr w:type="spellEnd"/>
      <w:r w:rsidRPr="0035232E">
        <w:rPr>
          <w:rFonts w:ascii="Times New Roman" w:eastAsia="Calibri" w:hAnsi="Times New Roman"/>
          <w:noProof w:val="0"/>
          <w:szCs w:val="21"/>
          <w14:ligatures w14:val="standard"/>
        </w:rPr>
        <w:t xml:space="preserve"> yfirvöld veiti undanþágu, þykir þó rétt í þágu réttarvissu að heimila </w:t>
      </w:r>
      <w:proofErr w:type="spellStart"/>
      <w:r w:rsidRPr="0035232E">
        <w:rPr>
          <w:rFonts w:ascii="Times New Roman" w:eastAsia="Calibri" w:hAnsi="Times New Roman"/>
          <w:noProof w:val="0"/>
          <w:szCs w:val="21"/>
          <w14:ligatures w14:val="standard"/>
        </w:rPr>
        <w:t>lögbærum</w:t>
      </w:r>
      <w:proofErr w:type="spellEnd"/>
      <w:r w:rsidRPr="0035232E">
        <w:rPr>
          <w:rFonts w:ascii="Times New Roman" w:eastAsia="Calibri" w:hAnsi="Times New Roman"/>
          <w:noProof w:val="0"/>
          <w:szCs w:val="21"/>
          <w14:ligatures w14:val="standard"/>
        </w:rPr>
        <w:t xml:space="preserve"> yfirvöldum að framlengja undanþáguna, sem um getur í 1. mgr. 496. gr. reglugerðar (ESB) nr. 575/2013, fram yfir dagsetninguna sem um getur í því ákvæði. Ákvæðum 1. mgr. 496. gr. reglugerðar (ESB) nr. 575/2013 ætti þess vegna að breyta og fella úr gildi dagsetninguna sem þar um getur, í þeim skilningi þó að endurmeta geti þurft möguleikann sem </w:t>
      </w:r>
      <w:proofErr w:type="spellStart"/>
      <w:r w:rsidRPr="0035232E">
        <w:rPr>
          <w:rFonts w:ascii="Times New Roman" w:eastAsia="Calibri" w:hAnsi="Times New Roman"/>
          <w:noProof w:val="0"/>
          <w:szCs w:val="21"/>
          <w14:ligatures w14:val="standard"/>
        </w:rPr>
        <w:t>lögbær</w:t>
      </w:r>
      <w:proofErr w:type="spellEnd"/>
      <w:r w:rsidRPr="0035232E">
        <w:rPr>
          <w:rFonts w:ascii="Times New Roman" w:eastAsia="Calibri" w:hAnsi="Times New Roman"/>
          <w:noProof w:val="0"/>
          <w:szCs w:val="21"/>
          <w14:ligatures w14:val="standard"/>
        </w:rPr>
        <w:t xml:space="preserve"> yfirvöld hafa til að veita undanþágu, í tengslum við síðari regluramma um sértryggð skuldabréf.</w:t>
      </w:r>
    </w:p>
    <w:p w14:paraId="61C5C6ED" w14:textId="77777777" w:rsidR="00F469ED" w:rsidRDefault="00372D49" w:rsidP="00F469ED">
      <w:pPr>
        <w:tabs>
          <w:tab w:val="clear" w:pos="397"/>
          <w:tab w:val="clear" w:pos="709"/>
        </w:tabs>
        <w:spacing w:after="200" w:line="240" w:lineRule="exact"/>
        <w:ind w:left="540" w:hanging="540"/>
        <w:rPr>
          <w:rFonts w:ascii="Times New Roman" w:eastAsia="Calibri" w:hAnsi="Times New Roman"/>
          <w:noProof w:val="0"/>
          <w:szCs w:val="21"/>
          <w14:ligatures w14:val="standard"/>
        </w:rPr>
      </w:pPr>
      <w:r w:rsidRPr="0035232E">
        <w:rPr>
          <w:rFonts w:ascii="Times New Roman" w:eastAsia="Calibri" w:hAnsi="Times New Roman"/>
          <w:noProof w:val="0"/>
          <w:szCs w:val="21"/>
          <w14:ligatures w14:val="standard"/>
        </w:rPr>
        <w:t>4)</w:t>
      </w:r>
      <w:r w:rsidRPr="0035232E">
        <w:rPr>
          <w:rFonts w:ascii="Times New Roman" w:eastAsia="Calibri" w:hAnsi="Times New Roman"/>
          <w:noProof w:val="0"/>
          <w:szCs w:val="21"/>
          <w14:ligatures w14:val="standard"/>
        </w:rPr>
        <w:tab/>
        <w:t>Í þágu réttarvissu þykir rétt að kveða á um varanlega undanþágu frá dagsetningunni eftir að núverandi undanþága rennur út.</w:t>
      </w:r>
    </w:p>
    <w:p w14:paraId="2D3D4E62" w14:textId="77777777" w:rsidR="00F469ED" w:rsidRDefault="00F469ED" w:rsidP="00F469ED">
      <w:pPr>
        <w:tabs>
          <w:tab w:val="clear" w:pos="397"/>
          <w:tab w:val="clear" w:pos="709"/>
        </w:tabs>
        <w:spacing w:after="200" w:line="240" w:lineRule="exact"/>
        <w:ind w:left="540" w:hanging="540"/>
        <w:rPr>
          <w:rFonts w:ascii="Times New Roman" w:eastAsia="Calibri" w:hAnsi="Times New Roman"/>
          <w:noProof w:val="0"/>
          <w:szCs w:val="21"/>
          <w14:ligatures w14:val="standard"/>
        </w:rPr>
      </w:pPr>
    </w:p>
    <w:p w14:paraId="391A5F2F" w14:textId="7B6D5AB2" w:rsidR="00372D49" w:rsidRPr="0035232E" w:rsidRDefault="00372D49" w:rsidP="00F469ED">
      <w:pPr>
        <w:tabs>
          <w:tab w:val="clear" w:pos="397"/>
          <w:tab w:val="clear" w:pos="709"/>
        </w:tabs>
        <w:spacing w:after="200" w:line="240" w:lineRule="exact"/>
        <w:ind w:left="540" w:hanging="540"/>
        <w:rPr>
          <w:rFonts w:ascii="Times New Roman" w:eastAsia="Calibri" w:hAnsi="Times New Roman"/>
          <w:noProof w:val="0"/>
          <w:szCs w:val="21"/>
          <w14:ligatures w14:val="standard"/>
        </w:rPr>
      </w:pPr>
      <w:r w:rsidRPr="0035232E">
        <w:rPr>
          <w:rFonts w:ascii="Times New Roman" w:eastAsia="Calibri" w:hAnsi="Times New Roman"/>
          <w:noProof w:val="0"/>
          <w:szCs w:val="21"/>
          <w14:ligatures w14:val="standard"/>
        </w:rPr>
        <w:t>SAMÞYKKT REGLUGERÐ ÞESSA:</w:t>
      </w:r>
    </w:p>
    <w:p w14:paraId="43C24F0A" w14:textId="77777777" w:rsidR="00372D49" w:rsidRPr="0035232E" w:rsidRDefault="00372D49" w:rsidP="00372D49">
      <w:pPr>
        <w:keepNext/>
        <w:keepLines/>
        <w:tabs>
          <w:tab w:val="clear" w:pos="397"/>
          <w:tab w:val="clear" w:pos="709"/>
        </w:tabs>
        <w:suppressAutoHyphens/>
        <w:spacing w:after="200" w:line="240" w:lineRule="exact"/>
        <w:ind w:firstLine="0"/>
        <w:jc w:val="center"/>
        <w:rPr>
          <w:rFonts w:ascii="Times New Roman" w:eastAsia="Calibri" w:hAnsi="Times New Roman"/>
          <w:i/>
          <w:noProof w:val="0"/>
          <w:szCs w:val="21"/>
          <w14:ligatures w14:val="standard"/>
        </w:rPr>
      </w:pPr>
      <w:r w:rsidRPr="0035232E">
        <w:rPr>
          <w:rFonts w:ascii="Times New Roman" w:eastAsia="Calibri" w:hAnsi="Times New Roman"/>
          <w:i/>
          <w:iCs/>
          <w:noProof w:val="0"/>
          <w:szCs w:val="21"/>
          <w14:ligatures w14:val="standard"/>
        </w:rPr>
        <w:t>1. gr.</w:t>
      </w:r>
    </w:p>
    <w:p w14:paraId="105EF89E" w14:textId="77777777" w:rsidR="00372D49" w:rsidRPr="0035232E" w:rsidRDefault="00372D49" w:rsidP="00372D49">
      <w:pPr>
        <w:tabs>
          <w:tab w:val="clear" w:pos="397"/>
          <w:tab w:val="clear" w:pos="709"/>
        </w:tabs>
        <w:spacing w:after="200" w:line="240" w:lineRule="exact"/>
        <w:ind w:firstLine="0"/>
        <w:rPr>
          <w:rFonts w:ascii="Times New Roman" w:eastAsia="Calibri" w:hAnsi="Times New Roman"/>
          <w:noProof w:val="0"/>
          <w:szCs w:val="21"/>
          <w14:ligatures w14:val="standard"/>
        </w:rPr>
      </w:pPr>
      <w:r w:rsidRPr="0035232E">
        <w:rPr>
          <w:rFonts w:ascii="Times New Roman" w:eastAsia="Calibri" w:hAnsi="Times New Roman"/>
          <w:noProof w:val="0"/>
          <w:szCs w:val="21"/>
          <w14:ligatures w14:val="standard"/>
        </w:rPr>
        <w:t>Í 1. mgr. 496. gr. reglugerðar (ESB) nr. 575/2013 komi eftirfarandi í stað inngangsmálsliðar:</w:t>
      </w:r>
    </w:p>
    <w:p w14:paraId="267491E7" w14:textId="77777777" w:rsidR="00372D49" w:rsidRPr="0035232E" w:rsidRDefault="00372D49" w:rsidP="00372D49">
      <w:pPr>
        <w:tabs>
          <w:tab w:val="clear" w:pos="397"/>
          <w:tab w:val="clear" w:pos="709"/>
        </w:tabs>
        <w:spacing w:after="200" w:line="240" w:lineRule="exact"/>
        <w:ind w:left="264" w:firstLine="0"/>
        <w:rPr>
          <w:rFonts w:ascii="Times New Roman" w:eastAsia="Calibri" w:hAnsi="Times New Roman"/>
          <w:noProof w:val="0"/>
          <w:szCs w:val="21"/>
          <w14:ligatures w14:val="standard"/>
        </w:rPr>
      </w:pPr>
      <w:r w:rsidRPr="0035232E">
        <w:rPr>
          <w:rFonts w:ascii="Times New Roman" w:eastAsia="Calibri" w:hAnsi="Times New Roman"/>
          <w:noProof w:val="0"/>
          <w:szCs w:val="21"/>
          <w14:ligatures w14:val="standard"/>
        </w:rPr>
        <w:t>„</w:t>
      </w:r>
      <w:proofErr w:type="spellStart"/>
      <w:r w:rsidRPr="0035232E">
        <w:rPr>
          <w:rFonts w:ascii="Times New Roman" w:eastAsia="Calibri" w:hAnsi="Times New Roman"/>
          <w:noProof w:val="0"/>
          <w:szCs w:val="21"/>
          <w14:ligatures w14:val="standard"/>
        </w:rPr>
        <w:t>Lögbærum</w:t>
      </w:r>
      <w:proofErr w:type="spellEnd"/>
      <w:r w:rsidRPr="0035232E">
        <w:rPr>
          <w:rFonts w:ascii="Times New Roman" w:eastAsia="Calibri" w:hAnsi="Times New Roman"/>
          <w:noProof w:val="0"/>
          <w:szCs w:val="21"/>
          <w14:ligatures w14:val="standard"/>
        </w:rPr>
        <w:t xml:space="preserve"> yfirvöldum er heimilt að falla frá, að fullu eða að hluta, 10% hámarkinu vegna forgangseininga sem gefnar eru út af frönskum </w:t>
      </w:r>
      <w:proofErr w:type="spellStart"/>
      <w:r w:rsidRPr="0035232E">
        <w:rPr>
          <w:rFonts w:ascii="Times New Roman" w:eastAsia="Calibri" w:hAnsi="Times New Roman"/>
          <w:noProof w:val="0"/>
          <w:szCs w:val="21"/>
          <w14:ligatures w14:val="standard"/>
        </w:rPr>
        <w:t>Fonds</w:t>
      </w:r>
      <w:proofErr w:type="spellEnd"/>
      <w:r w:rsidRPr="0035232E">
        <w:rPr>
          <w:rFonts w:ascii="Times New Roman" w:eastAsia="Calibri" w:hAnsi="Times New Roman"/>
          <w:noProof w:val="0"/>
          <w:szCs w:val="21"/>
          <w14:ligatures w14:val="standard"/>
        </w:rPr>
        <w:t xml:space="preserve"> </w:t>
      </w:r>
      <w:proofErr w:type="spellStart"/>
      <w:r w:rsidRPr="0035232E">
        <w:rPr>
          <w:rFonts w:ascii="Times New Roman" w:eastAsia="Calibri" w:hAnsi="Times New Roman"/>
          <w:noProof w:val="0"/>
          <w:szCs w:val="21"/>
          <w14:ligatures w14:val="standard"/>
        </w:rPr>
        <w:t>Communs</w:t>
      </w:r>
      <w:proofErr w:type="spellEnd"/>
      <w:r w:rsidRPr="0035232E">
        <w:rPr>
          <w:rFonts w:ascii="Times New Roman" w:eastAsia="Calibri" w:hAnsi="Times New Roman"/>
          <w:noProof w:val="0"/>
          <w:szCs w:val="21"/>
          <w14:ligatures w14:val="standard"/>
        </w:rPr>
        <w:t xml:space="preserve"> de </w:t>
      </w:r>
      <w:proofErr w:type="spellStart"/>
      <w:r w:rsidRPr="0035232E">
        <w:rPr>
          <w:rFonts w:ascii="Times New Roman" w:eastAsia="Calibri" w:hAnsi="Times New Roman"/>
          <w:noProof w:val="0"/>
          <w:szCs w:val="21"/>
          <w14:ligatures w14:val="standard"/>
        </w:rPr>
        <w:t>Créances</w:t>
      </w:r>
      <w:proofErr w:type="spellEnd"/>
      <w:r w:rsidRPr="0035232E">
        <w:rPr>
          <w:rFonts w:ascii="Times New Roman" w:eastAsia="Calibri" w:hAnsi="Times New Roman"/>
          <w:noProof w:val="0"/>
          <w:szCs w:val="21"/>
          <w14:ligatures w14:val="standard"/>
        </w:rPr>
        <w:t xml:space="preserve"> eða samsvarandi </w:t>
      </w:r>
      <w:proofErr w:type="spellStart"/>
      <w:r w:rsidRPr="0035232E">
        <w:rPr>
          <w:rFonts w:ascii="Times New Roman" w:eastAsia="Calibri" w:hAnsi="Times New Roman"/>
          <w:noProof w:val="0"/>
          <w:szCs w:val="21"/>
          <w14:ligatures w14:val="standard"/>
        </w:rPr>
        <w:t>verðbréfunarstofnunum</w:t>
      </w:r>
      <w:proofErr w:type="spellEnd"/>
      <w:r w:rsidRPr="0035232E">
        <w:rPr>
          <w:rFonts w:ascii="Times New Roman" w:eastAsia="Calibri" w:hAnsi="Times New Roman"/>
          <w:noProof w:val="0"/>
          <w:szCs w:val="21"/>
          <w14:ligatures w14:val="standard"/>
        </w:rPr>
        <w:t xml:space="preserve"> sem mælt er fyrir um í d- og </w:t>
      </w:r>
      <w:proofErr w:type="spellStart"/>
      <w:r w:rsidRPr="0035232E">
        <w:rPr>
          <w:rFonts w:ascii="Times New Roman" w:eastAsia="Calibri" w:hAnsi="Times New Roman"/>
          <w:noProof w:val="0"/>
          <w:szCs w:val="21"/>
          <w14:ligatures w14:val="standard"/>
        </w:rPr>
        <w:t>f-lið</w:t>
      </w:r>
      <w:proofErr w:type="spellEnd"/>
      <w:r w:rsidRPr="0035232E">
        <w:rPr>
          <w:rFonts w:ascii="Times New Roman" w:eastAsia="Calibri" w:hAnsi="Times New Roman"/>
          <w:noProof w:val="0"/>
          <w:szCs w:val="21"/>
          <w14:ligatures w14:val="standard"/>
        </w:rPr>
        <w:t xml:space="preserve"> 1. mgr. 129. gr., að því tilskildu að bæði eftirfarandi skilyrði séu uppfyllt:“</w:t>
      </w:r>
    </w:p>
    <w:p w14:paraId="610E0FDA" w14:textId="77777777" w:rsidR="00372D49" w:rsidRPr="0035232E" w:rsidRDefault="00372D49" w:rsidP="00372D49">
      <w:pPr>
        <w:keepNext/>
        <w:keepLines/>
        <w:tabs>
          <w:tab w:val="clear" w:pos="397"/>
          <w:tab w:val="clear" w:pos="709"/>
        </w:tabs>
        <w:suppressAutoHyphens/>
        <w:spacing w:after="200" w:line="240" w:lineRule="exact"/>
        <w:ind w:firstLine="0"/>
        <w:jc w:val="center"/>
        <w:rPr>
          <w:rFonts w:ascii="Times New Roman" w:eastAsia="Calibri" w:hAnsi="Times New Roman"/>
          <w:i/>
          <w:noProof w:val="0"/>
          <w:szCs w:val="21"/>
          <w14:ligatures w14:val="standard"/>
        </w:rPr>
      </w:pPr>
      <w:r w:rsidRPr="0035232E">
        <w:rPr>
          <w:rFonts w:ascii="Times New Roman" w:eastAsia="Calibri" w:hAnsi="Times New Roman"/>
          <w:i/>
          <w:noProof w:val="0"/>
          <w:szCs w:val="21"/>
          <w14:ligatures w14:val="standard"/>
        </w:rPr>
        <w:t>2. gr.</w:t>
      </w:r>
    </w:p>
    <w:p w14:paraId="7382FC3A" w14:textId="77777777" w:rsidR="00372D49" w:rsidRPr="0035232E" w:rsidRDefault="00372D49" w:rsidP="00372D49">
      <w:pPr>
        <w:tabs>
          <w:tab w:val="clear" w:pos="397"/>
          <w:tab w:val="clear" w:pos="709"/>
        </w:tabs>
        <w:spacing w:after="200" w:line="240" w:lineRule="exact"/>
        <w:ind w:firstLine="0"/>
        <w:rPr>
          <w:rFonts w:ascii="Times New Roman" w:eastAsia="Calibri" w:hAnsi="Times New Roman"/>
          <w:noProof w:val="0"/>
          <w:szCs w:val="21"/>
          <w14:ligatures w14:val="standard"/>
        </w:rPr>
      </w:pPr>
      <w:r w:rsidRPr="0035232E">
        <w:rPr>
          <w:rFonts w:ascii="Times New Roman" w:eastAsia="Calibri" w:hAnsi="Times New Roman"/>
          <w:noProof w:val="0"/>
          <w:szCs w:val="21"/>
          <w14:ligatures w14:val="standard"/>
        </w:rPr>
        <w:t xml:space="preserve">Reglugerð þessi öðlast gildi á tuttugasta degi eftir að hún birtist í </w:t>
      </w:r>
      <w:r w:rsidRPr="0035232E">
        <w:rPr>
          <w:rFonts w:ascii="Times New Roman" w:eastAsia="Calibri" w:hAnsi="Times New Roman"/>
          <w:i/>
          <w:iCs/>
          <w:noProof w:val="0"/>
          <w:szCs w:val="21"/>
          <w14:ligatures w14:val="standard"/>
        </w:rPr>
        <w:t>Stjórnartíðindum Evrópusambandsins</w:t>
      </w:r>
      <w:r w:rsidRPr="0035232E">
        <w:rPr>
          <w:rFonts w:ascii="Times New Roman" w:eastAsia="Calibri" w:hAnsi="Times New Roman"/>
          <w:noProof w:val="0"/>
          <w:szCs w:val="21"/>
          <w14:ligatures w14:val="standard"/>
        </w:rPr>
        <w:t>.</w:t>
      </w:r>
    </w:p>
    <w:p w14:paraId="03133BB4" w14:textId="77777777" w:rsidR="00372D49" w:rsidRPr="0035232E" w:rsidRDefault="00372D49" w:rsidP="00372D49">
      <w:pPr>
        <w:tabs>
          <w:tab w:val="clear" w:pos="397"/>
          <w:tab w:val="clear" w:pos="709"/>
        </w:tabs>
        <w:spacing w:after="600" w:line="240" w:lineRule="exact"/>
        <w:ind w:firstLine="0"/>
        <w:rPr>
          <w:rFonts w:ascii="Times New Roman" w:eastAsia="Calibri" w:hAnsi="Times New Roman"/>
          <w:noProof w:val="0"/>
          <w:szCs w:val="21"/>
          <w14:ligatures w14:val="standard"/>
        </w:rPr>
      </w:pPr>
      <w:r w:rsidRPr="0035232E">
        <w:rPr>
          <w:rFonts w:ascii="Times New Roman" w:eastAsia="Calibri" w:hAnsi="Times New Roman"/>
          <w:noProof w:val="0"/>
          <w:szCs w:val="21"/>
          <w14:ligatures w14:val="standard"/>
        </w:rPr>
        <w:lastRenderedPageBreak/>
        <w:t>Hún kemur til framkvæmda frá og með 1. janúar 2018.</w:t>
      </w:r>
    </w:p>
    <w:p w14:paraId="13E61AF8" w14:textId="77777777" w:rsidR="00372D49" w:rsidRPr="0035232E" w:rsidRDefault="00372D49" w:rsidP="00372D49">
      <w:pPr>
        <w:tabs>
          <w:tab w:val="clear" w:pos="397"/>
          <w:tab w:val="clear" w:pos="709"/>
        </w:tabs>
        <w:spacing w:after="300" w:line="240" w:lineRule="exact"/>
        <w:ind w:left="1160" w:right="547" w:firstLine="0"/>
        <w:rPr>
          <w:rFonts w:ascii="Times New Roman" w:eastAsia="Calibri" w:hAnsi="Times New Roman"/>
          <w:noProof w:val="0"/>
          <w:szCs w:val="21"/>
          <w14:ligatures w14:val="standard"/>
        </w:rPr>
      </w:pPr>
      <w:r w:rsidRPr="0035232E">
        <w:rPr>
          <w:rFonts w:ascii="Times New Roman" w:eastAsia="Calibri" w:hAnsi="Times New Roman"/>
          <w:noProof w:val="0"/>
          <w:szCs w:val="21"/>
          <w14:ligatures w14:val="standard"/>
        </w:rPr>
        <w:t>Reglugerð þessi er bindandi í heild sinni og gildir í öllum aðildarríkjunum án frekari lögfestingar.</w:t>
      </w:r>
    </w:p>
    <w:p w14:paraId="7DA566DF" w14:textId="77777777" w:rsidR="00372D49" w:rsidRPr="0035232E" w:rsidRDefault="00372D49" w:rsidP="00372D49">
      <w:pPr>
        <w:tabs>
          <w:tab w:val="clear" w:pos="397"/>
          <w:tab w:val="clear" w:pos="709"/>
        </w:tabs>
        <w:spacing w:after="200" w:line="240" w:lineRule="exact"/>
        <w:ind w:left="1160" w:right="547" w:firstLine="0"/>
        <w:rPr>
          <w:rFonts w:ascii="Times New Roman" w:eastAsia="Calibri" w:hAnsi="Times New Roman"/>
          <w:noProof w:val="0"/>
          <w:szCs w:val="21"/>
          <w14:ligatures w14:val="standard"/>
        </w:rPr>
      </w:pPr>
      <w:r w:rsidRPr="0035232E">
        <w:rPr>
          <w:rFonts w:ascii="Times New Roman" w:eastAsia="Calibri" w:hAnsi="Times New Roman"/>
          <w:noProof w:val="0"/>
          <w:szCs w:val="21"/>
          <w14:ligatures w14:val="standard"/>
        </w:rPr>
        <w:t>Gjört í Brussel 11. ágúst 2017.</w:t>
      </w:r>
    </w:p>
    <w:tbl>
      <w:tblPr>
        <w:tblW w:w="7908" w:type="dxa"/>
        <w:tblInd w:w="670" w:type="dxa"/>
        <w:tblLook w:val="04A0" w:firstRow="1" w:lastRow="0" w:firstColumn="1" w:lastColumn="0" w:noHBand="0" w:noVBand="1"/>
      </w:tblPr>
      <w:tblGrid>
        <w:gridCol w:w="3954"/>
        <w:gridCol w:w="3954"/>
      </w:tblGrid>
      <w:tr w:rsidR="00372D49" w:rsidRPr="0035232E" w14:paraId="242F655B" w14:textId="77777777" w:rsidTr="00B808F6">
        <w:trPr>
          <w:trHeight w:val="440"/>
        </w:trPr>
        <w:tc>
          <w:tcPr>
            <w:tcW w:w="3954" w:type="dxa"/>
            <w:vMerge w:val="restart"/>
          </w:tcPr>
          <w:p w14:paraId="4D68747E" w14:textId="77777777" w:rsidR="00372D49" w:rsidRPr="0035232E" w:rsidRDefault="00372D49" w:rsidP="00372D49">
            <w:pPr>
              <w:tabs>
                <w:tab w:val="clear" w:pos="397"/>
                <w:tab w:val="clear" w:pos="709"/>
              </w:tabs>
              <w:spacing w:after="200" w:line="240" w:lineRule="exact"/>
              <w:ind w:firstLine="0"/>
              <w:rPr>
                <w:rFonts w:ascii="Times New Roman" w:eastAsia="Calibri" w:hAnsi="Times New Roman"/>
                <w:noProof w:val="0"/>
                <w:szCs w:val="21"/>
                <w14:ligatures w14:val="standard"/>
              </w:rPr>
            </w:pPr>
          </w:p>
        </w:tc>
        <w:tc>
          <w:tcPr>
            <w:tcW w:w="3954" w:type="dxa"/>
            <w:vMerge w:val="restart"/>
          </w:tcPr>
          <w:p w14:paraId="3B49ECCD" w14:textId="77777777" w:rsidR="00372D49" w:rsidRPr="0035232E" w:rsidRDefault="00372D49" w:rsidP="00F469ED">
            <w:pPr>
              <w:keepNext/>
              <w:keepLines/>
              <w:tabs>
                <w:tab w:val="clear" w:pos="397"/>
                <w:tab w:val="clear" w:pos="709"/>
              </w:tabs>
              <w:suppressAutoHyphens/>
              <w:spacing w:after="120" w:line="240" w:lineRule="exact"/>
              <w:ind w:firstLine="0"/>
              <w:jc w:val="center"/>
              <w:rPr>
                <w:rFonts w:ascii="Times New Roman" w:eastAsia="Calibri" w:hAnsi="Times New Roman"/>
                <w:noProof w:val="0"/>
                <w:szCs w:val="21"/>
                <w14:ligatures w14:val="standard"/>
              </w:rPr>
            </w:pPr>
            <w:r w:rsidRPr="0035232E">
              <w:rPr>
                <w:rFonts w:ascii="Times New Roman" w:eastAsia="Calibri" w:hAnsi="Times New Roman"/>
                <w:i/>
                <w:noProof w:val="0"/>
                <w:szCs w:val="21"/>
                <w14:ligatures w14:val="standard"/>
              </w:rPr>
              <w:t>Fyrir hönd framkvæmdastjórnarinnar,</w:t>
            </w:r>
          </w:p>
          <w:p w14:paraId="1E0E44F3" w14:textId="77777777" w:rsidR="00372D49" w:rsidRPr="0035232E" w:rsidRDefault="00372D49" w:rsidP="00F469ED">
            <w:pPr>
              <w:tabs>
                <w:tab w:val="clear" w:pos="397"/>
                <w:tab w:val="clear" w:pos="709"/>
              </w:tabs>
              <w:spacing w:after="120" w:line="200" w:lineRule="exact"/>
              <w:ind w:firstLine="0"/>
              <w:jc w:val="center"/>
              <w:rPr>
                <w:rFonts w:ascii="Times New Roman" w:eastAsia="Calibri" w:hAnsi="Times New Roman"/>
                <w:noProof w:val="0"/>
                <w:szCs w:val="21"/>
                <w14:ligatures w14:val="standard"/>
              </w:rPr>
            </w:pPr>
            <w:r w:rsidRPr="0035232E">
              <w:rPr>
                <w:rFonts w:ascii="Times New Roman" w:eastAsia="Calibri" w:hAnsi="Times New Roman"/>
                <w:noProof w:val="0"/>
                <w:szCs w:val="21"/>
                <w14:ligatures w14:val="standard"/>
              </w:rPr>
              <w:t xml:space="preserve">Jean-Claude </w:t>
            </w:r>
            <w:proofErr w:type="spellStart"/>
            <w:r w:rsidRPr="0035232E">
              <w:rPr>
                <w:rFonts w:ascii="Times New Roman" w:eastAsia="Calibri" w:hAnsi="Times New Roman"/>
                <w:noProof w:val="0"/>
                <w:szCs w:val="21"/>
                <w14:ligatures w14:val="standard"/>
              </w:rPr>
              <w:t>Juncker</w:t>
            </w:r>
            <w:proofErr w:type="spellEnd"/>
          </w:p>
          <w:p w14:paraId="2477D4E7" w14:textId="77777777" w:rsidR="00372D49" w:rsidRPr="0035232E" w:rsidRDefault="00372D49" w:rsidP="00F469ED">
            <w:pPr>
              <w:keepNext/>
              <w:keepLines/>
              <w:tabs>
                <w:tab w:val="clear" w:pos="397"/>
                <w:tab w:val="clear" w:pos="709"/>
              </w:tabs>
              <w:suppressAutoHyphens/>
              <w:spacing w:after="120" w:line="240" w:lineRule="exact"/>
              <w:ind w:firstLine="0"/>
              <w:jc w:val="center"/>
              <w:rPr>
                <w:rFonts w:ascii="Times New Roman" w:eastAsia="Calibri" w:hAnsi="Times New Roman"/>
                <w:noProof w:val="0"/>
                <w:szCs w:val="21"/>
                <w14:ligatures w14:val="standard"/>
              </w:rPr>
            </w:pPr>
            <w:r w:rsidRPr="0035232E">
              <w:rPr>
                <w:rFonts w:ascii="Times New Roman" w:eastAsia="Calibri" w:hAnsi="Times New Roman"/>
                <w:i/>
                <w:noProof w:val="0"/>
                <w:szCs w:val="21"/>
                <w14:ligatures w14:val="standard"/>
              </w:rPr>
              <w:t>forseti.</w:t>
            </w:r>
          </w:p>
        </w:tc>
      </w:tr>
    </w:tbl>
    <w:p w14:paraId="495019D1" w14:textId="77777777" w:rsidR="00372D49" w:rsidRPr="0035232E" w:rsidRDefault="00372D49" w:rsidP="00372D49">
      <w:pPr>
        <w:widowControl w:val="0"/>
        <w:tabs>
          <w:tab w:val="clear" w:pos="397"/>
          <w:tab w:val="clear" w:pos="709"/>
          <w:tab w:val="left" w:leader="underscore" w:pos="522"/>
        </w:tabs>
        <w:suppressAutoHyphens/>
        <w:spacing w:after="257" w:line="240" w:lineRule="exact"/>
        <w:ind w:firstLine="0"/>
        <w:jc w:val="center"/>
        <w:rPr>
          <w:rFonts w:ascii="Times New Roman" w:eastAsia="Calibri" w:hAnsi="Times New Roman"/>
          <w:noProof w:val="0"/>
          <w:szCs w:val="21"/>
        </w:rPr>
      </w:pPr>
      <w:r w:rsidRPr="0035232E">
        <w:rPr>
          <w:rFonts w:ascii="Times New Roman" w:eastAsia="Calibri" w:hAnsi="Times New Roman"/>
          <w:noProof w:val="0"/>
          <w:szCs w:val="21"/>
        </w:rPr>
        <w:tab/>
      </w:r>
    </w:p>
    <w:p w14:paraId="495639AC" w14:textId="0BEF448B" w:rsidR="00372D49" w:rsidRPr="0035232E" w:rsidRDefault="00372D49" w:rsidP="00372D49">
      <w:pPr>
        <w:ind w:firstLine="0"/>
        <w:rPr>
          <w:rFonts w:ascii="Times New Roman" w:hAnsi="Times New Roman"/>
          <w:szCs w:val="21"/>
          <w:u w:val="single"/>
        </w:rPr>
      </w:pPr>
      <w:r w:rsidRPr="0035232E">
        <w:rPr>
          <w:rFonts w:ascii="Times New Roman" w:hAnsi="Times New Roman"/>
          <w:b/>
          <w:bCs/>
          <w:szCs w:val="21"/>
          <w:u w:val="single"/>
        </w:rPr>
        <w:t>Fylgiskjal II.</w:t>
      </w:r>
      <w:r w:rsidRPr="0035232E">
        <w:rPr>
          <w:rFonts w:ascii="Times New Roman" w:hAnsi="Times New Roman"/>
          <w:szCs w:val="21"/>
          <w:u w:val="single"/>
        </w:rPr>
        <w:t xml:space="preserve"> </w:t>
      </w:r>
    </w:p>
    <w:p w14:paraId="5D0A3E65" w14:textId="77777777" w:rsidR="00372D49" w:rsidRPr="0035232E" w:rsidRDefault="00372D49" w:rsidP="00A733AD">
      <w:pPr>
        <w:rPr>
          <w:rFonts w:ascii="Times New Roman" w:hAnsi="Times New Roman"/>
          <w:szCs w:val="21"/>
        </w:rPr>
      </w:pPr>
    </w:p>
    <w:p w14:paraId="23C5C49A" w14:textId="77777777" w:rsidR="007B2CAE" w:rsidRPr="007B2CAE" w:rsidRDefault="007B2CAE" w:rsidP="007B2CAE">
      <w:pPr>
        <w:keepNext/>
        <w:tabs>
          <w:tab w:val="clear" w:pos="397"/>
          <w:tab w:val="clear" w:pos="709"/>
        </w:tabs>
        <w:suppressAutoHyphens/>
        <w:spacing w:after="120" w:line="240" w:lineRule="exact"/>
        <w:ind w:firstLine="0"/>
        <w:jc w:val="center"/>
        <w:outlineLvl w:val="2"/>
        <w:rPr>
          <w:rFonts w:ascii="Times New Roman" w:eastAsia="Calibri" w:hAnsi="Times New Roman"/>
          <w:b/>
          <w:noProof w:val="0"/>
          <w:szCs w:val="21"/>
          <w14:ligatures w14:val="standard"/>
        </w:rPr>
      </w:pPr>
      <w:r w:rsidRPr="007B2CAE">
        <w:rPr>
          <w:rFonts w:ascii="Times New Roman" w:eastAsia="Calibri" w:hAnsi="Times New Roman"/>
          <w:b/>
          <w:noProof w:val="0"/>
          <w:szCs w:val="21"/>
          <w14:ligatures w14:val="standard"/>
        </w:rPr>
        <w:t>ÁKVÖRÐUN SAMEIGINLEGU EES-NEFNDARINNAR nr. 16/2020</w:t>
      </w:r>
    </w:p>
    <w:p w14:paraId="75140229" w14:textId="77777777" w:rsidR="007B2CAE" w:rsidRPr="007B2CAE" w:rsidRDefault="007B2CAE" w:rsidP="007B2CAE">
      <w:pPr>
        <w:keepNext/>
        <w:tabs>
          <w:tab w:val="clear" w:pos="397"/>
          <w:tab w:val="clear" w:pos="709"/>
        </w:tabs>
        <w:suppressAutoHyphens/>
        <w:spacing w:after="120" w:line="240" w:lineRule="exact"/>
        <w:ind w:firstLine="0"/>
        <w:jc w:val="center"/>
        <w:outlineLvl w:val="2"/>
        <w:rPr>
          <w:rFonts w:ascii="Times New Roman" w:eastAsia="Calibri" w:hAnsi="Times New Roman"/>
          <w:b/>
          <w:noProof w:val="0"/>
          <w:szCs w:val="21"/>
          <w14:ligatures w14:val="standard"/>
        </w:rPr>
      </w:pPr>
      <w:r w:rsidRPr="007B2CAE">
        <w:rPr>
          <w:rFonts w:ascii="Times New Roman" w:eastAsia="Calibri" w:hAnsi="Times New Roman"/>
          <w:b/>
          <w:noProof w:val="0"/>
          <w:szCs w:val="21"/>
          <w14:ligatures w14:val="standard"/>
        </w:rPr>
        <w:t>frá 7. febrúar 2020</w:t>
      </w:r>
    </w:p>
    <w:p w14:paraId="1BA3E445" w14:textId="77777777" w:rsidR="007B2CAE" w:rsidRPr="007B2CAE" w:rsidRDefault="007B2CAE" w:rsidP="007B2CAE">
      <w:pPr>
        <w:keepNext/>
        <w:tabs>
          <w:tab w:val="clear" w:pos="397"/>
          <w:tab w:val="clear" w:pos="709"/>
        </w:tabs>
        <w:suppressAutoHyphens/>
        <w:spacing w:after="360" w:line="240" w:lineRule="exact"/>
        <w:ind w:firstLine="0"/>
        <w:jc w:val="center"/>
        <w:outlineLvl w:val="2"/>
        <w:rPr>
          <w:rFonts w:ascii="Times New Roman" w:eastAsia="Calibri" w:hAnsi="Times New Roman"/>
          <w:b/>
          <w:noProof w:val="0"/>
          <w:szCs w:val="21"/>
          <w14:ligatures w14:val="standard"/>
        </w:rPr>
      </w:pPr>
      <w:r w:rsidRPr="007B2CAE">
        <w:rPr>
          <w:rFonts w:ascii="Times New Roman" w:eastAsia="Calibri" w:hAnsi="Times New Roman"/>
          <w:b/>
          <w:noProof w:val="0"/>
          <w:color w:val="000000"/>
          <w:szCs w:val="21"/>
          <w14:ligatures w14:val="standard"/>
        </w:rPr>
        <w:t>um breytingu á IX. viðauka við EES-samninginn (Fjármálaþjónusta)</w:t>
      </w:r>
    </w:p>
    <w:p w14:paraId="7978EAD4" w14:textId="77777777" w:rsidR="007B2CAE" w:rsidRPr="007B2CAE" w:rsidRDefault="007B2CAE" w:rsidP="007B2CAE">
      <w:pPr>
        <w:tabs>
          <w:tab w:val="clear" w:pos="397"/>
          <w:tab w:val="clear" w:pos="709"/>
        </w:tabs>
        <w:spacing w:before="240" w:after="240" w:line="300" w:lineRule="exact"/>
        <w:ind w:firstLine="0"/>
        <w:rPr>
          <w:rFonts w:ascii="Times New Roman" w:eastAsia="Calibri" w:hAnsi="Times New Roman"/>
          <w:noProof w:val="0"/>
          <w:szCs w:val="21"/>
          <w14:ligatures w14:val="standard"/>
        </w:rPr>
      </w:pPr>
      <w:r w:rsidRPr="007B2CAE">
        <w:rPr>
          <w:rFonts w:ascii="Times New Roman" w:eastAsia="Calibri" w:hAnsi="Times New Roman"/>
          <w:noProof w:val="0"/>
          <w:color w:val="000000"/>
          <w:szCs w:val="21"/>
          <w14:ligatures w14:val="standard"/>
        </w:rPr>
        <w:t>SAMEIGINLEGA EES-NEFNDIN HEFUR,</w:t>
      </w:r>
    </w:p>
    <w:p w14:paraId="2ED5B6F6" w14:textId="77777777" w:rsidR="007B2CAE" w:rsidRPr="007B2CAE" w:rsidRDefault="007B2CAE" w:rsidP="007B2CAE">
      <w:pPr>
        <w:tabs>
          <w:tab w:val="clear" w:pos="397"/>
          <w:tab w:val="clear" w:pos="709"/>
        </w:tabs>
        <w:spacing w:after="240" w:line="300" w:lineRule="exact"/>
        <w:ind w:firstLine="0"/>
        <w:rPr>
          <w:rFonts w:ascii="Times New Roman" w:eastAsia="Calibri" w:hAnsi="Times New Roman"/>
          <w:noProof w:val="0"/>
          <w:szCs w:val="21"/>
          <w14:ligatures w14:val="standard"/>
        </w:rPr>
      </w:pPr>
      <w:r w:rsidRPr="007B2CAE">
        <w:rPr>
          <w:rFonts w:ascii="Times New Roman" w:eastAsia="Calibri" w:hAnsi="Times New Roman"/>
          <w:noProof w:val="0"/>
          <w:color w:val="000000"/>
          <w:szCs w:val="21"/>
          <w14:ligatures w14:val="standard"/>
        </w:rPr>
        <w:t>með vísan til samningsins um Evrópska efnahagssvæðið („EES-samningurinn“), einkum 98. gr.,</w:t>
      </w:r>
    </w:p>
    <w:p w14:paraId="57D8BD3A" w14:textId="77777777" w:rsidR="007B2CAE" w:rsidRPr="007B2CAE" w:rsidRDefault="007B2CAE" w:rsidP="007B2CAE">
      <w:pPr>
        <w:tabs>
          <w:tab w:val="clear" w:pos="397"/>
          <w:tab w:val="clear" w:pos="709"/>
        </w:tabs>
        <w:spacing w:after="240" w:line="300" w:lineRule="exact"/>
        <w:ind w:firstLine="0"/>
        <w:rPr>
          <w:rFonts w:ascii="Times New Roman" w:eastAsia="Calibri" w:hAnsi="Times New Roman"/>
          <w:noProof w:val="0"/>
          <w:szCs w:val="21"/>
          <w14:ligatures w14:val="standard"/>
        </w:rPr>
      </w:pPr>
      <w:r w:rsidRPr="007B2CAE">
        <w:rPr>
          <w:rFonts w:ascii="Times New Roman" w:eastAsia="Calibri" w:hAnsi="Times New Roman"/>
          <w:i/>
          <w:noProof w:val="0"/>
          <w:color w:val="000000"/>
          <w:szCs w:val="21"/>
          <w14:ligatures w14:val="standard"/>
        </w:rPr>
        <w:t>og að teknu tilliti til eftirfarandi:</w:t>
      </w:r>
    </w:p>
    <w:p w14:paraId="30E04D50" w14:textId="77777777" w:rsidR="007B2CAE" w:rsidRPr="007B2CAE" w:rsidRDefault="007B2CAE" w:rsidP="007B2CAE">
      <w:pPr>
        <w:numPr>
          <w:ilvl w:val="0"/>
          <w:numId w:val="3"/>
        </w:numPr>
        <w:tabs>
          <w:tab w:val="clear" w:pos="397"/>
          <w:tab w:val="clear" w:pos="709"/>
        </w:tabs>
        <w:spacing w:after="240" w:line="300" w:lineRule="exact"/>
        <w:ind w:left="540" w:hanging="540"/>
        <w:jc w:val="left"/>
        <w:rPr>
          <w:rFonts w:ascii="Times New Roman" w:eastAsia="Calibri" w:hAnsi="Times New Roman"/>
          <w:noProof w:val="0"/>
          <w:szCs w:val="21"/>
          <w14:ligatures w14:val="standard"/>
        </w:rPr>
      </w:pPr>
      <w:r w:rsidRPr="007B2CAE">
        <w:rPr>
          <w:rFonts w:ascii="Times New Roman" w:eastAsia="Calibri" w:hAnsi="Times New Roman"/>
          <w:noProof w:val="0"/>
          <w:szCs w:val="21"/>
          <w14:ligatures w14:val="standard"/>
        </w:rPr>
        <w:t xml:space="preserve">Fella ber inn í EES-samninginn reglugerð Evrópuþingsins og ráðsins 2019/630 frá 17. apríl 2019 um breytingu á reglugerð (ESB) nr. 575/2013 að því er varðar lágmarkstryggingarvernd fyrir tapi vegna </w:t>
      </w:r>
      <w:proofErr w:type="spellStart"/>
      <w:r w:rsidRPr="007B2CAE">
        <w:rPr>
          <w:rFonts w:ascii="Times New Roman" w:eastAsia="Calibri" w:hAnsi="Times New Roman"/>
          <w:noProof w:val="0"/>
          <w:szCs w:val="21"/>
          <w14:ligatures w14:val="standard"/>
        </w:rPr>
        <w:t>vanefndra</w:t>
      </w:r>
      <w:proofErr w:type="spellEnd"/>
      <w:r w:rsidRPr="007B2CAE">
        <w:rPr>
          <w:rFonts w:ascii="Times New Roman" w:eastAsia="Calibri" w:hAnsi="Times New Roman"/>
          <w:noProof w:val="0"/>
          <w:szCs w:val="21"/>
          <w14:ligatures w14:val="standard"/>
        </w:rPr>
        <w:t xml:space="preserve"> áhættuskuldbindinga (</w:t>
      </w:r>
      <w:r w:rsidRPr="007B2CAE">
        <w:rPr>
          <w:rFonts w:ascii="Times New Roman" w:eastAsia="Calibri" w:hAnsi="Times New Roman"/>
          <w:noProof w:val="0"/>
          <w:position w:val="-2"/>
          <w:szCs w:val="21"/>
          <w:vertAlign w:val="superscript"/>
          <w14:ligatures w14:val="standard"/>
        </w:rPr>
        <w:footnoteReference w:id="2"/>
      </w:r>
      <w:r w:rsidRPr="007B2CAE">
        <w:rPr>
          <w:rFonts w:ascii="Times New Roman" w:eastAsia="Calibri" w:hAnsi="Times New Roman"/>
          <w:noProof w:val="0"/>
          <w:szCs w:val="21"/>
          <w14:ligatures w14:val="standard"/>
        </w:rPr>
        <w:t>).</w:t>
      </w:r>
    </w:p>
    <w:p w14:paraId="2802B77A" w14:textId="77777777" w:rsidR="007B2CAE" w:rsidRPr="007B2CAE" w:rsidRDefault="007B2CAE" w:rsidP="007B2CAE">
      <w:pPr>
        <w:numPr>
          <w:ilvl w:val="0"/>
          <w:numId w:val="3"/>
        </w:numPr>
        <w:tabs>
          <w:tab w:val="clear" w:pos="397"/>
          <w:tab w:val="clear" w:pos="709"/>
        </w:tabs>
        <w:spacing w:after="240" w:line="300" w:lineRule="exact"/>
        <w:ind w:left="540" w:hanging="540"/>
        <w:jc w:val="left"/>
        <w:rPr>
          <w:rFonts w:ascii="Times New Roman" w:eastAsia="Calibri" w:hAnsi="Times New Roman"/>
          <w:noProof w:val="0"/>
          <w:szCs w:val="21"/>
          <w14:ligatures w14:val="standard"/>
        </w:rPr>
      </w:pPr>
      <w:r w:rsidRPr="007B2CAE">
        <w:rPr>
          <w:rFonts w:ascii="Times New Roman" w:eastAsia="Calibri" w:hAnsi="Times New Roman"/>
          <w:noProof w:val="0"/>
          <w:szCs w:val="21"/>
          <w14:ligatures w14:val="standard"/>
        </w:rPr>
        <w:t>IX. viðauki við EES-samninginn breytist því í samræmi við það,</w:t>
      </w:r>
    </w:p>
    <w:p w14:paraId="0B458CC1" w14:textId="77777777" w:rsidR="007B2CAE" w:rsidRPr="007B2CAE" w:rsidRDefault="007B2CAE" w:rsidP="007B2CAE">
      <w:pPr>
        <w:tabs>
          <w:tab w:val="clear" w:pos="397"/>
        </w:tabs>
        <w:spacing w:before="360" w:after="240" w:line="300" w:lineRule="exact"/>
        <w:ind w:firstLine="0"/>
        <w:rPr>
          <w:rFonts w:ascii="Times New Roman" w:eastAsia="Calibri" w:hAnsi="Times New Roman"/>
          <w:noProof w:val="0"/>
          <w:szCs w:val="21"/>
          <w14:ligatures w14:val="standard"/>
        </w:rPr>
      </w:pPr>
      <w:r w:rsidRPr="007B2CAE">
        <w:rPr>
          <w:rFonts w:ascii="Times New Roman" w:eastAsia="Calibri" w:hAnsi="Times New Roman"/>
          <w:noProof w:val="0"/>
          <w:color w:val="000000"/>
          <w:szCs w:val="21"/>
          <w14:ligatures w14:val="standard"/>
        </w:rPr>
        <w:t>TEKIÐ EFTIRFARANDI ÁKVÖRÐUN:</w:t>
      </w:r>
    </w:p>
    <w:p w14:paraId="06357BE5" w14:textId="77777777" w:rsidR="007B2CAE" w:rsidRPr="007B2CAE" w:rsidRDefault="007B2CAE" w:rsidP="007B2CAE">
      <w:pPr>
        <w:keepNext/>
        <w:keepLines/>
        <w:tabs>
          <w:tab w:val="clear" w:pos="397"/>
        </w:tabs>
        <w:suppressAutoHyphens/>
        <w:spacing w:after="240" w:line="300" w:lineRule="exact"/>
        <w:ind w:firstLine="0"/>
        <w:jc w:val="center"/>
        <w:rPr>
          <w:rFonts w:ascii="Times New Roman" w:eastAsia="Calibri" w:hAnsi="Times New Roman"/>
          <w:i/>
          <w:noProof w:val="0"/>
          <w:color w:val="000000"/>
          <w:szCs w:val="21"/>
          <w14:ligatures w14:val="standard"/>
        </w:rPr>
      </w:pPr>
      <w:r w:rsidRPr="007B2CAE">
        <w:rPr>
          <w:rFonts w:ascii="Times New Roman" w:eastAsia="Calibri" w:hAnsi="Times New Roman"/>
          <w:i/>
          <w:noProof w:val="0"/>
          <w:color w:val="000000"/>
          <w:szCs w:val="21"/>
          <w14:ligatures w14:val="standard"/>
        </w:rPr>
        <w:t>1. gr.</w:t>
      </w:r>
    </w:p>
    <w:p w14:paraId="4CDEA102" w14:textId="77777777" w:rsidR="007B2CAE" w:rsidRPr="007B2CAE" w:rsidRDefault="007B2CAE" w:rsidP="007B2CAE">
      <w:pPr>
        <w:tabs>
          <w:tab w:val="clear" w:pos="397"/>
        </w:tabs>
        <w:spacing w:after="240" w:line="300" w:lineRule="exact"/>
        <w:ind w:firstLine="0"/>
        <w:rPr>
          <w:rFonts w:ascii="Times New Roman" w:eastAsia="Calibri" w:hAnsi="Times New Roman"/>
          <w:noProof w:val="0"/>
          <w:color w:val="000000"/>
          <w:szCs w:val="21"/>
          <w14:ligatures w14:val="standard"/>
        </w:rPr>
      </w:pPr>
      <w:r w:rsidRPr="007B2CAE">
        <w:rPr>
          <w:rFonts w:ascii="Times New Roman" w:eastAsia="Calibri" w:hAnsi="Times New Roman"/>
          <w:noProof w:val="0"/>
          <w:color w:val="000000"/>
          <w:szCs w:val="21"/>
          <w14:ligatures w14:val="standard"/>
        </w:rPr>
        <w:t>Lið 14a (reglugerð Evrópuþingsins og ráðsins (ESB) nr. 575/2013) í IX. viðauka við EES-samninginn er breytt sem hér segir:</w:t>
      </w:r>
    </w:p>
    <w:p w14:paraId="13D3B900" w14:textId="77777777" w:rsidR="007B2CAE" w:rsidRPr="007B2CAE" w:rsidRDefault="007B2CAE" w:rsidP="007B2CAE">
      <w:pPr>
        <w:tabs>
          <w:tab w:val="clear" w:pos="397"/>
          <w:tab w:val="clear" w:pos="709"/>
        </w:tabs>
        <w:spacing w:after="240" w:line="300" w:lineRule="exact"/>
        <w:ind w:left="300" w:hanging="300"/>
        <w:rPr>
          <w:rFonts w:ascii="Times New Roman" w:hAnsi="Times New Roman"/>
          <w:noProof w:val="0"/>
          <w:color w:val="000000"/>
          <w:szCs w:val="21"/>
          <w14:ligatures w14:val="standard"/>
        </w:rPr>
      </w:pPr>
      <w:r w:rsidRPr="007B2CAE">
        <w:rPr>
          <w:rFonts w:ascii="Times New Roman" w:hAnsi="Times New Roman"/>
          <w:noProof w:val="0"/>
          <w:color w:val="000000"/>
          <w:szCs w:val="21"/>
          <w14:ligatures w14:val="standard"/>
        </w:rPr>
        <w:t>1.</w:t>
      </w:r>
      <w:r w:rsidRPr="007B2CAE">
        <w:rPr>
          <w:rFonts w:ascii="Times New Roman" w:hAnsi="Times New Roman"/>
          <w:noProof w:val="0"/>
          <w:color w:val="000000"/>
          <w:szCs w:val="21"/>
          <w14:ligatures w14:val="standard"/>
        </w:rPr>
        <w:tab/>
        <w:t>Eftirfarandi undirlið er bætt við:</w:t>
      </w:r>
    </w:p>
    <w:p w14:paraId="3C6CDE5C" w14:textId="77777777" w:rsidR="007B2CAE" w:rsidRPr="007B2CAE" w:rsidRDefault="007B2CAE" w:rsidP="007B2CAE">
      <w:pPr>
        <w:tabs>
          <w:tab w:val="clear" w:pos="397"/>
          <w:tab w:val="clear" w:pos="709"/>
          <w:tab w:val="left" w:pos="2047"/>
          <w:tab w:val="left" w:pos="4253"/>
        </w:tabs>
        <w:spacing w:after="240" w:line="300" w:lineRule="exact"/>
        <w:ind w:left="840" w:hanging="540"/>
        <w:rPr>
          <w:rFonts w:ascii="Times New Roman" w:hAnsi="Times New Roman"/>
          <w:noProof w:val="0"/>
          <w:color w:val="000000"/>
          <w:szCs w:val="21"/>
          <w14:ligatures w14:val="standard"/>
        </w:rPr>
      </w:pPr>
      <w:r w:rsidRPr="007B2CAE">
        <w:rPr>
          <w:rFonts w:ascii="Times New Roman" w:hAnsi="Times New Roman"/>
          <w:noProof w:val="0"/>
          <w:color w:val="000000"/>
          <w:szCs w:val="21"/>
          <w14:ligatures w14:val="standard"/>
        </w:rPr>
        <w:t xml:space="preserve">„–  </w:t>
      </w:r>
      <w:r w:rsidRPr="007B2CAE">
        <w:rPr>
          <w:rFonts w:ascii="Times New Roman" w:hAnsi="Times New Roman"/>
          <w:b/>
          <w:noProof w:val="0"/>
          <w:color w:val="000000"/>
          <w:szCs w:val="21"/>
          <w14:ligatures w14:val="standard"/>
        </w:rPr>
        <w:t>32019 R 0630</w:t>
      </w:r>
      <w:r w:rsidRPr="007B2CAE">
        <w:rPr>
          <w:rFonts w:ascii="Times New Roman" w:hAnsi="Times New Roman"/>
          <w:noProof w:val="0"/>
          <w:color w:val="000000"/>
          <w:szCs w:val="21"/>
          <w14:ligatures w14:val="standard"/>
        </w:rPr>
        <w:t>: Reglugerð Evrópuþingsins og ráðsins (ESB) 2019/630 frá 17. apríl 2019 (</w:t>
      </w:r>
      <w:proofErr w:type="spellStart"/>
      <w:r w:rsidRPr="007B2CAE">
        <w:rPr>
          <w:rFonts w:ascii="Times New Roman" w:hAnsi="Times New Roman"/>
          <w:noProof w:val="0"/>
          <w:color w:val="000000"/>
          <w:szCs w:val="21"/>
          <w14:ligatures w14:val="standard"/>
        </w:rPr>
        <w:t>Stjtíð</w:t>
      </w:r>
      <w:proofErr w:type="spellEnd"/>
      <w:r w:rsidRPr="007B2CAE">
        <w:rPr>
          <w:rFonts w:ascii="Times New Roman" w:hAnsi="Times New Roman"/>
          <w:noProof w:val="0"/>
          <w:color w:val="000000"/>
          <w:szCs w:val="21"/>
          <w14:ligatures w14:val="standard"/>
        </w:rPr>
        <w:t>. ESB L 111, 25.4.2019, bls. 4).“</w:t>
      </w:r>
    </w:p>
    <w:p w14:paraId="379B5374" w14:textId="77777777" w:rsidR="007B2CAE" w:rsidRPr="007B2CAE" w:rsidRDefault="007B2CAE" w:rsidP="007B2CAE">
      <w:pPr>
        <w:tabs>
          <w:tab w:val="clear" w:pos="397"/>
          <w:tab w:val="clear" w:pos="709"/>
        </w:tabs>
        <w:spacing w:after="240" w:line="300" w:lineRule="exact"/>
        <w:ind w:left="300" w:hanging="300"/>
        <w:rPr>
          <w:rFonts w:ascii="Times New Roman" w:hAnsi="Times New Roman"/>
          <w:noProof w:val="0"/>
          <w:color w:val="000000"/>
          <w:szCs w:val="21"/>
          <w14:ligatures w14:val="standard"/>
        </w:rPr>
      </w:pPr>
      <w:r w:rsidRPr="007B2CAE">
        <w:rPr>
          <w:rFonts w:ascii="Times New Roman" w:hAnsi="Times New Roman"/>
          <w:noProof w:val="0"/>
          <w:color w:val="000000"/>
          <w:szCs w:val="21"/>
          <w14:ligatures w14:val="standard"/>
        </w:rPr>
        <w:lastRenderedPageBreak/>
        <w:t>2.</w:t>
      </w:r>
      <w:r w:rsidRPr="007B2CAE">
        <w:rPr>
          <w:rFonts w:ascii="Times New Roman" w:hAnsi="Times New Roman"/>
          <w:noProof w:val="0"/>
          <w:color w:val="000000"/>
          <w:szCs w:val="21"/>
          <w14:ligatures w14:val="standard"/>
        </w:rPr>
        <w:tab/>
        <w:t>Aðlögunartexti l) er endurtölusettur sem aðlögunartexti m).</w:t>
      </w:r>
    </w:p>
    <w:p w14:paraId="5CDD4F6C" w14:textId="77777777" w:rsidR="007B2CAE" w:rsidRPr="007B2CAE" w:rsidRDefault="007B2CAE" w:rsidP="007B2CAE">
      <w:pPr>
        <w:tabs>
          <w:tab w:val="clear" w:pos="397"/>
          <w:tab w:val="clear" w:pos="709"/>
        </w:tabs>
        <w:spacing w:after="240" w:line="300" w:lineRule="exact"/>
        <w:ind w:left="300" w:hanging="300"/>
        <w:rPr>
          <w:rFonts w:ascii="Times New Roman" w:hAnsi="Times New Roman"/>
          <w:noProof w:val="0"/>
          <w:color w:val="000000"/>
          <w:szCs w:val="21"/>
          <w14:ligatures w14:val="standard"/>
        </w:rPr>
      </w:pPr>
      <w:r w:rsidRPr="007B2CAE">
        <w:rPr>
          <w:rFonts w:ascii="Times New Roman" w:hAnsi="Times New Roman"/>
          <w:noProof w:val="0"/>
          <w:color w:val="000000"/>
          <w:szCs w:val="21"/>
          <w14:ligatures w14:val="standard"/>
        </w:rPr>
        <w:t>3.</w:t>
      </w:r>
      <w:r w:rsidRPr="007B2CAE">
        <w:rPr>
          <w:rFonts w:ascii="Times New Roman" w:hAnsi="Times New Roman"/>
          <w:noProof w:val="0"/>
          <w:color w:val="000000"/>
          <w:szCs w:val="21"/>
          <w14:ligatures w14:val="standard"/>
        </w:rPr>
        <w:tab/>
        <w:t>Eftirfarandi aðlögunartexta er bætt við á eftir aðlögunartexta k).</w:t>
      </w:r>
    </w:p>
    <w:p w14:paraId="313CCA9C" w14:textId="77777777" w:rsidR="007B2CAE" w:rsidRPr="007B2CAE" w:rsidRDefault="007B2CAE" w:rsidP="007B2CAE">
      <w:pPr>
        <w:tabs>
          <w:tab w:val="clear" w:pos="397"/>
          <w:tab w:val="clear" w:pos="709"/>
        </w:tabs>
        <w:spacing w:after="240" w:line="300" w:lineRule="exact"/>
        <w:ind w:left="700" w:hanging="400"/>
        <w:rPr>
          <w:rFonts w:ascii="Times New Roman" w:hAnsi="Times New Roman"/>
          <w:noProof w:val="0"/>
          <w:color w:val="000000"/>
          <w:szCs w:val="21"/>
          <w14:ligatures w14:val="standard"/>
        </w:rPr>
      </w:pPr>
      <w:r w:rsidRPr="007B2CAE">
        <w:rPr>
          <w:rFonts w:ascii="Times New Roman" w:hAnsi="Times New Roman"/>
          <w:noProof w:val="0"/>
          <w:color w:val="000000"/>
          <w:szCs w:val="21"/>
          <w14:ligatures w14:val="standard"/>
        </w:rPr>
        <w:t xml:space="preserve">„l) Í 469. gr. a., að því er varðar EFTA-ríkin, orðast „26. apríl 2019“ sem „gildistökudag ákvörðunar sameiginlegu EES-nefndarinnar nr. 16/2020 frá 7. febrúar 2020“.“ </w:t>
      </w:r>
    </w:p>
    <w:p w14:paraId="04359D7D" w14:textId="77777777" w:rsidR="007B2CAE" w:rsidRPr="007B2CAE" w:rsidRDefault="007B2CAE" w:rsidP="007B2CAE">
      <w:pPr>
        <w:keepNext/>
        <w:keepLines/>
        <w:tabs>
          <w:tab w:val="clear" w:pos="397"/>
        </w:tabs>
        <w:suppressAutoHyphens/>
        <w:spacing w:after="240" w:line="300" w:lineRule="exact"/>
        <w:ind w:firstLine="0"/>
        <w:jc w:val="center"/>
        <w:rPr>
          <w:rFonts w:ascii="Times New Roman" w:eastAsia="Calibri" w:hAnsi="Times New Roman"/>
          <w:i/>
          <w:noProof w:val="0"/>
          <w:color w:val="000000"/>
          <w:szCs w:val="21"/>
          <w14:ligatures w14:val="standard"/>
        </w:rPr>
      </w:pPr>
      <w:r w:rsidRPr="007B2CAE">
        <w:rPr>
          <w:rFonts w:ascii="Times New Roman" w:eastAsia="Calibri" w:hAnsi="Times New Roman"/>
          <w:i/>
          <w:iCs/>
          <w:noProof w:val="0"/>
          <w:color w:val="000000"/>
          <w:szCs w:val="21"/>
          <w14:ligatures w14:val="standard"/>
        </w:rPr>
        <w:t>2. gr.</w:t>
      </w:r>
    </w:p>
    <w:p w14:paraId="17E77D95" w14:textId="77777777" w:rsidR="007B2CAE" w:rsidRPr="007B2CAE" w:rsidRDefault="007B2CAE" w:rsidP="007B2CAE">
      <w:pPr>
        <w:tabs>
          <w:tab w:val="clear" w:pos="397"/>
        </w:tabs>
        <w:spacing w:after="240" w:line="300" w:lineRule="exact"/>
        <w:ind w:firstLine="0"/>
        <w:rPr>
          <w:rFonts w:ascii="Times New Roman" w:eastAsia="Calibri" w:hAnsi="Times New Roman"/>
          <w:noProof w:val="0"/>
          <w:color w:val="000000"/>
          <w:szCs w:val="21"/>
          <w14:ligatures w14:val="standard"/>
        </w:rPr>
      </w:pPr>
      <w:r w:rsidRPr="007B2CAE">
        <w:rPr>
          <w:rFonts w:ascii="Times New Roman" w:eastAsia="Calibri" w:hAnsi="Times New Roman"/>
          <w:noProof w:val="0"/>
          <w:color w:val="000000"/>
          <w:szCs w:val="21"/>
          <w14:ligatures w14:val="standard"/>
        </w:rPr>
        <w:t xml:space="preserve">Íslenskur og norskur texti reglugerðar (ESB) 2019/630, sem verður birtur í EES-viðbæti við </w:t>
      </w:r>
      <w:r w:rsidRPr="007B2CAE">
        <w:rPr>
          <w:rFonts w:ascii="Times New Roman" w:eastAsia="Calibri" w:hAnsi="Times New Roman"/>
          <w:i/>
          <w:iCs/>
          <w:noProof w:val="0"/>
          <w:color w:val="000000"/>
          <w:szCs w:val="21"/>
          <w14:ligatures w14:val="standard"/>
        </w:rPr>
        <w:t>Stjórnartíðindi Evrópusambandsins</w:t>
      </w:r>
      <w:r w:rsidRPr="007B2CAE">
        <w:rPr>
          <w:rFonts w:ascii="Times New Roman" w:eastAsia="Calibri" w:hAnsi="Times New Roman"/>
          <w:noProof w:val="0"/>
          <w:color w:val="000000"/>
          <w:szCs w:val="21"/>
          <w14:ligatures w14:val="standard"/>
        </w:rPr>
        <w:t>, telst fullgiltur.</w:t>
      </w:r>
    </w:p>
    <w:p w14:paraId="26C9874F" w14:textId="77777777" w:rsidR="007B2CAE" w:rsidRPr="007B2CAE" w:rsidRDefault="007B2CAE" w:rsidP="007B2CAE">
      <w:pPr>
        <w:keepNext/>
        <w:keepLines/>
        <w:tabs>
          <w:tab w:val="clear" w:pos="397"/>
        </w:tabs>
        <w:suppressAutoHyphens/>
        <w:spacing w:after="240" w:line="300" w:lineRule="exact"/>
        <w:ind w:firstLine="0"/>
        <w:jc w:val="center"/>
        <w:rPr>
          <w:rFonts w:ascii="Times New Roman" w:eastAsia="Calibri" w:hAnsi="Times New Roman"/>
          <w:i/>
          <w:noProof w:val="0"/>
          <w:color w:val="000000"/>
          <w:szCs w:val="21"/>
          <w14:ligatures w14:val="standard"/>
        </w:rPr>
      </w:pPr>
      <w:r w:rsidRPr="007B2CAE">
        <w:rPr>
          <w:rFonts w:ascii="Times New Roman" w:eastAsia="Calibri" w:hAnsi="Times New Roman"/>
          <w:i/>
          <w:iCs/>
          <w:noProof w:val="0"/>
          <w:color w:val="000000"/>
          <w:szCs w:val="21"/>
          <w14:ligatures w14:val="standard"/>
        </w:rPr>
        <w:t>3. gr.</w:t>
      </w:r>
    </w:p>
    <w:p w14:paraId="1C58B4CC" w14:textId="77777777" w:rsidR="007B2CAE" w:rsidRPr="007B2CAE" w:rsidRDefault="007B2CAE" w:rsidP="007B2CAE">
      <w:pPr>
        <w:tabs>
          <w:tab w:val="clear" w:pos="397"/>
        </w:tabs>
        <w:spacing w:after="240" w:line="300" w:lineRule="exact"/>
        <w:ind w:firstLine="0"/>
        <w:rPr>
          <w:rFonts w:ascii="Times New Roman" w:eastAsia="Calibri" w:hAnsi="Times New Roman"/>
          <w:noProof w:val="0"/>
          <w:color w:val="000000"/>
          <w:szCs w:val="21"/>
          <w14:ligatures w14:val="standard"/>
        </w:rPr>
      </w:pPr>
      <w:r w:rsidRPr="007B2CAE">
        <w:rPr>
          <w:rFonts w:ascii="Times New Roman" w:eastAsia="Calibri" w:hAnsi="Times New Roman"/>
          <w:noProof w:val="0"/>
          <w:color w:val="000000"/>
          <w:szCs w:val="21"/>
          <w14:ligatures w14:val="standard"/>
        </w:rPr>
        <w:t>Ákvörðun þessi öðlast gildi 8. febrúar 2020, að því tilskildu að allar tilkynningar samkvæmt 1. mgr. 103. gr. EES-samningsins hafi farið fram (</w:t>
      </w:r>
      <w:r w:rsidRPr="007B2CAE">
        <w:rPr>
          <w:rFonts w:ascii="Times New Roman" w:eastAsia="Calibri" w:hAnsi="Times New Roman"/>
          <w:color w:val="000000"/>
          <w:position w:val="-2"/>
          <w:szCs w:val="21"/>
          <w:vertAlign w:val="superscript"/>
          <w14:ligatures w14:val="standard"/>
        </w:rPr>
        <w:footnoteReference w:customMarkFollows="1" w:id="3"/>
        <w:sym w:font="Symbol" w:char="F02A"/>
      </w:r>
      <w:r w:rsidRPr="007B2CAE">
        <w:rPr>
          <w:rFonts w:ascii="Times New Roman" w:eastAsia="Calibri" w:hAnsi="Times New Roman"/>
          <w:noProof w:val="0"/>
          <w:color w:val="000000"/>
          <w:szCs w:val="21"/>
          <w14:ligatures w14:val="standard"/>
        </w:rPr>
        <w:t>).</w:t>
      </w:r>
    </w:p>
    <w:p w14:paraId="121CBA72" w14:textId="77777777" w:rsidR="007B2CAE" w:rsidRPr="007B2CAE" w:rsidRDefault="007B2CAE" w:rsidP="007B2CAE">
      <w:pPr>
        <w:keepNext/>
        <w:keepLines/>
        <w:tabs>
          <w:tab w:val="clear" w:pos="397"/>
        </w:tabs>
        <w:suppressAutoHyphens/>
        <w:spacing w:after="240" w:line="300" w:lineRule="exact"/>
        <w:ind w:firstLine="0"/>
        <w:jc w:val="center"/>
        <w:rPr>
          <w:rFonts w:ascii="Times New Roman" w:eastAsia="Calibri" w:hAnsi="Times New Roman"/>
          <w:i/>
          <w:noProof w:val="0"/>
          <w:color w:val="000000"/>
          <w:szCs w:val="21"/>
          <w14:ligatures w14:val="standard"/>
        </w:rPr>
      </w:pPr>
      <w:r w:rsidRPr="007B2CAE">
        <w:rPr>
          <w:rFonts w:ascii="Times New Roman" w:eastAsia="Calibri" w:hAnsi="Times New Roman"/>
          <w:i/>
          <w:noProof w:val="0"/>
          <w:color w:val="000000"/>
          <w:szCs w:val="21"/>
          <w14:ligatures w14:val="standard"/>
        </w:rPr>
        <w:t>4. gr.</w:t>
      </w:r>
    </w:p>
    <w:p w14:paraId="73297410" w14:textId="77777777" w:rsidR="007B2CAE" w:rsidRPr="007B2CAE" w:rsidRDefault="007B2CAE" w:rsidP="007B2CAE">
      <w:pPr>
        <w:tabs>
          <w:tab w:val="clear" w:pos="397"/>
        </w:tabs>
        <w:spacing w:after="240" w:line="300" w:lineRule="exact"/>
        <w:ind w:firstLine="0"/>
        <w:rPr>
          <w:rFonts w:ascii="Times New Roman" w:eastAsia="Calibri" w:hAnsi="Times New Roman"/>
          <w:noProof w:val="0"/>
          <w:color w:val="000000"/>
          <w:szCs w:val="21"/>
          <w14:ligatures w14:val="standard"/>
        </w:rPr>
      </w:pPr>
      <w:r w:rsidRPr="007B2CAE">
        <w:rPr>
          <w:rFonts w:ascii="Times New Roman" w:eastAsia="Calibri" w:hAnsi="Times New Roman"/>
          <w:noProof w:val="0"/>
          <w:color w:val="000000"/>
          <w:szCs w:val="21"/>
          <w14:ligatures w14:val="standard"/>
        </w:rPr>
        <w:t xml:space="preserve">Ákvörðun þessi skal birt í EES-deild </w:t>
      </w:r>
      <w:r w:rsidRPr="007B2CAE">
        <w:rPr>
          <w:rFonts w:ascii="Times New Roman" w:eastAsia="Calibri" w:hAnsi="Times New Roman"/>
          <w:i/>
          <w:noProof w:val="0"/>
          <w:color w:val="000000"/>
          <w:szCs w:val="21"/>
          <w14:ligatures w14:val="standard"/>
        </w:rPr>
        <w:t xml:space="preserve">Stjórnartíðinda Evrópusambandsins </w:t>
      </w:r>
      <w:r w:rsidRPr="007B2CAE">
        <w:rPr>
          <w:rFonts w:ascii="Times New Roman" w:eastAsia="Calibri" w:hAnsi="Times New Roman"/>
          <w:noProof w:val="0"/>
          <w:color w:val="000000"/>
          <w:szCs w:val="21"/>
          <w14:ligatures w14:val="standard"/>
        </w:rPr>
        <w:t>og EES-viðbæti við þau.</w:t>
      </w:r>
    </w:p>
    <w:p w14:paraId="1856830D" w14:textId="77777777" w:rsidR="007B2CAE" w:rsidRPr="007B2CAE" w:rsidRDefault="007B2CAE" w:rsidP="007B2CAE">
      <w:pPr>
        <w:tabs>
          <w:tab w:val="clear" w:pos="397"/>
          <w:tab w:val="clear" w:pos="709"/>
        </w:tabs>
        <w:spacing w:before="600" w:after="240" w:line="300" w:lineRule="exact"/>
        <w:ind w:firstLine="0"/>
        <w:jc w:val="center"/>
        <w:rPr>
          <w:rFonts w:ascii="Times New Roman" w:eastAsia="Calibri" w:hAnsi="Times New Roman"/>
          <w:noProof w:val="0"/>
          <w:szCs w:val="21"/>
          <w14:ligatures w14:val="standard"/>
        </w:rPr>
      </w:pPr>
      <w:r w:rsidRPr="007B2CAE">
        <w:rPr>
          <w:rFonts w:ascii="Times New Roman" w:eastAsia="Calibri" w:hAnsi="Times New Roman"/>
          <w:noProof w:val="0"/>
          <w:szCs w:val="21"/>
          <w14:ligatures w14:val="standard"/>
        </w:rPr>
        <w:t>Gjört í Brussel 7. febrúar 2020.</w:t>
      </w:r>
    </w:p>
    <w:p w14:paraId="49EE394D" w14:textId="77777777" w:rsidR="007B2CAE" w:rsidRPr="007B2CAE" w:rsidRDefault="007B2CAE" w:rsidP="007B2CAE">
      <w:pPr>
        <w:keepNext/>
        <w:keepLines/>
        <w:tabs>
          <w:tab w:val="clear" w:pos="397"/>
          <w:tab w:val="clear" w:pos="709"/>
        </w:tabs>
        <w:suppressAutoHyphens/>
        <w:spacing w:after="180" w:line="300" w:lineRule="exact"/>
        <w:ind w:firstLine="0"/>
        <w:jc w:val="center"/>
        <w:rPr>
          <w:rFonts w:ascii="Times New Roman" w:eastAsia="Calibri" w:hAnsi="Times New Roman"/>
          <w:noProof w:val="0"/>
          <w:szCs w:val="21"/>
          <w14:ligatures w14:val="standard"/>
        </w:rPr>
      </w:pPr>
      <w:r w:rsidRPr="007B2CAE">
        <w:rPr>
          <w:rFonts w:ascii="Times New Roman" w:eastAsia="Calibri" w:hAnsi="Times New Roman"/>
          <w:i/>
          <w:iCs/>
          <w:noProof w:val="0"/>
          <w:szCs w:val="21"/>
          <w14:ligatures w14:val="standard"/>
        </w:rPr>
        <w:t>Fyrir hönd sameiginlegu EES-nefndarinnar</w:t>
      </w:r>
    </w:p>
    <w:p w14:paraId="531925EC" w14:textId="77777777" w:rsidR="007B2CAE" w:rsidRPr="007B2CAE" w:rsidRDefault="007B2CAE" w:rsidP="007B2CAE">
      <w:pPr>
        <w:tabs>
          <w:tab w:val="clear" w:pos="397"/>
          <w:tab w:val="clear" w:pos="709"/>
        </w:tabs>
        <w:spacing w:after="180" w:line="300" w:lineRule="exact"/>
        <w:ind w:firstLine="0"/>
        <w:jc w:val="center"/>
        <w:rPr>
          <w:rFonts w:ascii="Times New Roman" w:eastAsia="Calibri" w:hAnsi="Times New Roman"/>
          <w:b/>
          <w:i/>
          <w:noProof w:val="0"/>
          <w:szCs w:val="21"/>
          <w14:ligatures w14:val="standard"/>
        </w:rPr>
      </w:pPr>
      <w:r w:rsidRPr="007B2CAE">
        <w:rPr>
          <w:rFonts w:ascii="Times New Roman" w:eastAsia="Calibri" w:hAnsi="Times New Roman"/>
          <w:b/>
          <w:i/>
          <w:noProof w:val="0"/>
          <w:szCs w:val="21"/>
          <w14:ligatures w14:val="standard"/>
        </w:rPr>
        <w:t xml:space="preserve">Clara </w:t>
      </w:r>
      <w:proofErr w:type="spellStart"/>
      <w:r w:rsidRPr="007B2CAE">
        <w:rPr>
          <w:rFonts w:ascii="Times New Roman" w:eastAsia="Calibri" w:hAnsi="Times New Roman"/>
          <w:b/>
          <w:i/>
          <w:noProof w:val="0"/>
          <w:szCs w:val="21"/>
          <w14:ligatures w14:val="standard"/>
        </w:rPr>
        <w:t>Ganslandt</w:t>
      </w:r>
      <w:proofErr w:type="spellEnd"/>
    </w:p>
    <w:p w14:paraId="06D0BE9B" w14:textId="77777777" w:rsidR="007B2CAE" w:rsidRPr="007B2CAE" w:rsidRDefault="007B2CAE" w:rsidP="007B2CAE">
      <w:pPr>
        <w:keepNext/>
        <w:keepLines/>
        <w:tabs>
          <w:tab w:val="clear" w:pos="397"/>
          <w:tab w:val="clear" w:pos="709"/>
        </w:tabs>
        <w:suppressAutoHyphens/>
        <w:spacing w:after="180" w:line="300" w:lineRule="exact"/>
        <w:ind w:firstLine="0"/>
        <w:jc w:val="center"/>
        <w:rPr>
          <w:rFonts w:ascii="Times New Roman" w:eastAsia="Calibri" w:hAnsi="Times New Roman"/>
          <w:noProof w:val="0"/>
          <w:szCs w:val="21"/>
          <w14:ligatures w14:val="standard"/>
        </w:rPr>
      </w:pPr>
      <w:r w:rsidRPr="007B2CAE">
        <w:rPr>
          <w:rFonts w:ascii="Times New Roman" w:eastAsia="Calibri" w:hAnsi="Times New Roman"/>
          <w:i/>
          <w:iCs/>
          <w:noProof w:val="0"/>
          <w:szCs w:val="21"/>
          <w14:ligatures w14:val="standard"/>
        </w:rPr>
        <w:t>formaður.</w:t>
      </w:r>
    </w:p>
    <w:p w14:paraId="0C99BEE8" w14:textId="77777777" w:rsidR="00A733AD" w:rsidRPr="004B2BC1" w:rsidRDefault="00A733AD" w:rsidP="003C0878">
      <w:pPr>
        <w:keepNext/>
        <w:tabs>
          <w:tab w:val="right" w:pos="7796"/>
        </w:tabs>
        <w:ind w:firstLine="0"/>
        <w:jc w:val="center"/>
        <w:outlineLvl w:val="2"/>
        <w:rPr>
          <w:noProof w:val="0"/>
          <w:szCs w:val="20"/>
          <w:lang w:eastAsia="en-GB"/>
        </w:rPr>
      </w:pPr>
    </w:p>
    <w:p w14:paraId="013D7E10" w14:textId="2AD88187" w:rsidR="003C0878" w:rsidRPr="004B2BC1" w:rsidRDefault="00A733AD" w:rsidP="003C0878">
      <w:pPr>
        <w:keepNext/>
        <w:tabs>
          <w:tab w:val="right" w:pos="7796"/>
        </w:tabs>
        <w:ind w:firstLine="0"/>
        <w:jc w:val="center"/>
        <w:outlineLvl w:val="2"/>
        <w:rPr>
          <w:noProof w:val="0"/>
          <w:szCs w:val="20"/>
          <w:lang w:eastAsia="en-GB"/>
        </w:rPr>
      </w:pPr>
      <w:r w:rsidRPr="004B2BC1">
        <w:rPr>
          <w:noProof w:val="0"/>
          <w:szCs w:val="20"/>
          <w:lang w:eastAsia="en-GB"/>
        </w:rPr>
        <w:t>1</w:t>
      </w:r>
      <w:r w:rsidR="004F6FDD">
        <w:rPr>
          <w:noProof w:val="0"/>
          <w:szCs w:val="20"/>
          <w:lang w:eastAsia="en-GB"/>
        </w:rPr>
        <w:t>1</w:t>
      </w:r>
      <w:r w:rsidR="003C0878" w:rsidRPr="004B2BC1">
        <w:rPr>
          <w:noProof w:val="0"/>
          <w:szCs w:val="20"/>
          <w:lang w:eastAsia="en-GB"/>
        </w:rPr>
        <w:t>. gr.</w:t>
      </w:r>
    </w:p>
    <w:p w14:paraId="2F19CCA2" w14:textId="77777777" w:rsidR="003C0878" w:rsidRPr="004B2BC1" w:rsidRDefault="003C0878" w:rsidP="003C0878">
      <w:r w:rsidRPr="004B2BC1">
        <w:t>Reglugerð þessi, sem sett er með stoð í 117. gr. a og 1. mgr. 117. gr. b laga um fjármálafyrirtæki, nr. 161/2002, öðlast gildi</w:t>
      </w:r>
      <w:r w:rsidR="006A500F" w:rsidRPr="004B2BC1">
        <w:t xml:space="preserve"> 28. júní 2021</w:t>
      </w:r>
      <w:r w:rsidRPr="004B2BC1">
        <w:t>.</w:t>
      </w:r>
    </w:p>
    <w:p w14:paraId="0BCC2BC3" w14:textId="77777777" w:rsidR="003C0878" w:rsidRPr="004B2BC1" w:rsidRDefault="003C0878" w:rsidP="003C0878"/>
    <w:p w14:paraId="32B78CB4" w14:textId="77777777" w:rsidR="003C0878" w:rsidRPr="004B2BC1" w:rsidRDefault="003C0878" w:rsidP="003C0878">
      <w:pPr>
        <w:keepNext/>
        <w:tabs>
          <w:tab w:val="right" w:pos="7796"/>
        </w:tabs>
        <w:ind w:firstLine="0"/>
        <w:jc w:val="center"/>
        <w:outlineLvl w:val="3"/>
        <w:rPr>
          <w:bCs/>
          <w:i/>
          <w:noProof w:val="0"/>
          <w:szCs w:val="28"/>
          <w:lang w:eastAsia="en-GB"/>
        </w:rPr>
      </w:pPr>
      <w:r w:rsidRPr="004B2BC1">
        <w:rPr>
          <w:bCs/>
          <w:i/>
          <w:noProof w:val="0"/>
          <w:szCs w:val="28"/>
          <w:lang w:eastAsia="en-GB"/>
        </w:rPr>
        <w:t xml:space="preserve">Fjármála- og efnahagsráðuneytinu, </w:t>
      </w:r>
      <w:r w:rsidR="006B36BB" w:rsidRPr="004B2BC1">
        <w:rPr>
          <w:bCs/>
          <w:i/>
          <w:noProof w:val="0"/>
          <w:szCs w:val="28"/>
          <w:lang w:eastAsia="en-GB"/>
        </w:rPr>
        <w:t>[...] júní 2021</w:t>
      </w:r>
      <w:r w:rsidRPr="004B2BC1">
        <w:rPr>
          <w:bCs/>
          <w:i/>
          <w:noProof w:val="0"/>
          <w:szCs w:val="28"/>
          <w:lang w:eastAsia="en-GB"/>
        </w:rPr>
        <w:t>.</w:t>
      </w:r>
    </w:p>
    <w:p w14:paraId="469DA1B4" w14:textId="77777777" w:rsidR="003C0878" w:rsidRPr="004B2BC1" w:rsidRDefault="003C0878" w:rsidP="003C0878">
      <w:pPr>
        <w:rPr>
          <w:lang w:eastAsia="en-GB"/>
        </w:rPr>
      </w:pPr>
    </w:p>
    <w:p w14:paraId="28516373" w14:textId="77777777" w:rsidR="003C0878" w:rsidRPr="004B2BC1" w:rsidRDefault="003C0878" w:rsidP="003C0878">
      <w:pPr>
        <w:keepNext/>
        <w:tabs>
          <w:tab w:val="right" w:pos="7796"/>
        </w:tabs>
        <w:ind w:firstLine="0"/>
        <w:jc w:val="center"/>
        <w:outlineLvl w:val="2"/>
        <w:rPr>
          <w:noProof w:val="0"/>
          <w:szCs w:val="20"/>
          <w:lang w:eastAsia="en-GB"/>
        </w:rPr>
      </w:pPr>
      <w:r w:rsidRPr="004B2BC1">
        <w:rPr>
          <w:noProof w:val="0"/>
          <w:szCs w:val="20"/>
          <w:lang w:eastAsia="en-GB"/>
        </w:rPr>
        <w:t>F. h. r.</w:t>
      </w:r>
    </w:p>
    <w:p w14:paraId="556107E5" w14:textId="77777777" w:rsidR="003C0878" w:rsidRPr="004B2BC1" w:rsidRDefault="003C0878" w:rsidP="003C0878">
      <w:pPr>
        <w:tabs>
          <w:tab w:val="right" w:pos="7796"/>
        </w:tabs>
        <w:ind w:firstLine="0"/>
        <w:jc w:val="center"/>
        <w:rPr>
          <w:b/>
          <w:szCs w:val="20"/>
          <w:lang w:eastAsia="en-GB"/>
        </w:rPr>
      </w:pPr>
      <w:r w:rsidRPr="004B2BC1">
        <w:rPr>
          <w:b/>
          <w:szCs w:val="20"/>
          <w:lang w:eastAsia="en-GB"/>
        </w:rPr>
        <w:t>Guðrún Þorleifsdóttir.</w:t>
      </w:r>
    </w:p>
    <w:p w14:paraId="0678C339" w14:textId="77777777" w:rsidR="003C0878" w:rsidRPr="004B2BC1" w:rsidRDefault="003C0878" w:rsidP="003C0878">
      <w:pPr>
        <w:tabs>
          <w:tab w:val="right" w:pos="7796"/>
        </w:tabs>
        <w:ind w:firstLine="0"/>
        <w:jc w:val="center"/>
        <w:rPr>
          <w:b/>
          <w:szCs w:val="20"/>
          <w:lang w:eastAsia="en-GB"/>
        </w:rPr>
      </w:pPr>
    </w:p>
    <w:p w14:paraId="0CE0618C" w14:textId="7629E791" w:rsidR="007A24DC" w:rsidRPr="004F6FDD" w:rsidRDefault="003C0878" w:rsidP="004F6FDD">
      <w:pPr>
        <w:pBdr>
          <w:top w:val="single" w:sz="4" w:space="1" w:color="auto"/>
        </w:pBdr>
        <w:tabs>
          <w:tab w:val="right" w:pos="7796"/>
        </w:tabs>
        <w:ind w:left="6237" w:firstLine="0"/>
        <w:jc w:val="left"/>
        <w:rPr>
          <w:i/>
          <w:szCs w:val="20"/>
          <w:lang w:eastAsia="en-GB"/>
        </w:rPr>
      </w:pPr>
      <w:r w:rsidRPr="004B2BC1">
        <w:rPr>
          <w:i/>
          <w:szCs w:val="20"/>
          <w:lang w:eastAsia="en-GB"/>
        </w:rPr>
        <w:t>Gunnlaugur Helgason.</w:t>
      </w:r>
      <w:bookmarkEnd w:id="0"/>
    </w:p>
    <w:sectPr w:rsidR="007A24DC" w:rsidRPr="004F6FDD" w:rsidSect="00840702">
      <w:headerReference w:type="even" r:id="rId14"/>
      <w:headerReference w:type="default" r:id="rId15"/>
      <w:headerReference w:type="first" r:id="rId16"/>
      <w:pgSz w:w="11907" w:h="16840" w:code="9"/>
      <w:pgMar w:top="2495" w:right="1758" w:bottom="1361"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DB800" w14:textId="77777777" w:rsidR="00DD48C5" w:rsidRDefault="00DD48C5" w:rsidP="000130AF">
      <w:r>
        <w:separator/>
      </w:r>
    </w:p>
  </w:endnote>
  <w:endnote w:type="continuationSeparator" w:id="0">
    <w:p w14:paraId="7D55C28B" w14:textId="77777777" w:rsidR="00DD48C5" w:rsidRDefault="00DD48C5" w:rsidP="0001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520A4" w14:textId="77777777" w:rsidR="00DD48C5" w:rsidRDefault="00DD48C5" w:rsidP="000130AF">
      <w:r>
        <w:separator/>
      </w:r>
    </w:p>
  </w:footnote>
  <w:footnote w:type="continuationSeparator" w:id="0">
    <w:p w14:paraId="179A3FB0" w14:textId="77777777" w:rsidR="00DD48C5" w:rsidRDefault="00DD48C5" w:rsidP="000130AF">
      <w:r>
        <w:continuationSeparator/>
      </w:r>
    </w:p>
  </w:footnote>
  <w:footnote w:id="1">
    <w:p w14:paraId="20FB44E3" w14:textId="77777777" w:rsidR="00372D49" w:rsidRDefault="00372D49" w:rsidP="00372D49">
      <w:pPr>
        <w:pStyle w:val="FootnoteText"/>
        <w:ind w:left="280" w:hanging="280"/>
      </w:pPr>
      <w:r>
        <w:t>(</w:t>
      </w:r>
      <w:r>
        <w:rPr>
          <w:rStyle w:val="FootnoteReference"/>
        </w:rPr>
        <w:footnoteRef/>
      </w:r>
      <w:r>
        <w:t>)</w:t>
      </w:r>
      <w:r>
        <w:tab/>
        <w:t>Stjtíð. ESB L 176, 27.6.2013, bls. 1.</w:t>
      </w:r>
    </w:p>
  </w:footnote>
  <w:footnote w:id="2">
    <w:p w14:paraId="05A80B27" w14:textId="77777777" w:rsidR="007B2CAE" w:rsidRDefault="007B2CAE" w:rsidP="007B2CAE">
      <w:pPr>
        <w:pStyle w:val="FootnoteText"/>
        <w:ind w:left="360" w:hanging="360"/>
      </w:pPr>
      <w:r>
        <w:t>(</w:t>
      </w:r>
      <w:r>
        <w:rPr>
          <w:rStyle w:val="FootnoteReference"/>
          <w:sz w:val="20"/>
        </w:rPr>
        <w:footnoteRef/>
      </w:r>
      <w:r>
        <w:t>)</w:t>
      </w:r>
      <w:r>
        <w:tab/>
        <w:t>Stjtíð. ESB L 111, 25.4.2019, bls. 4.</w:t>
      </w:r>
    </w:p>
  </w:footnote>
  <w:footnote w:id="3">
    <w:p w14:paraId="1AC07A16" w14:textId="77777777" w:rsidR="007B2CAE" w:rsidRDefault="007B2CAE" w:rsidP="007B2CAE">
      <w:pPr>
        <w:pStyle w:val="FootnoteText"/>
        <w:ind w:left="360" w:hanging="360"/>
      </w:pPr>
      <w:r>
        <w:t>(</w:t>
      </w:r>
      <w:r>
        <w:rPr>
          <w:rStyle w:val="FootnoteReference"/>
          <w:sz w:val="20"/>
        </w:rPr>
        <w:sym w:font="Symbol" w:char="F02A"/>
      </w:r>
      <w:r>
        <w:t>)</w:t>
      </w:r>
      <w:r>
        <w:tab/>
        <w:t>Stjórnskipuleg skilyrði gefin til kynna.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2D1A4" w14:textId="2F579176" w:rsidR="00F469ED" w:rsidRDefault="00F469ED">
    <w:pPr>
      <w:pStyle w:val="Header"/>
    </w:pPr>
    <w:r>
      <w:pict w14:anchorId="455A2C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9631535" o:spid="_x0000_s8197" type="#_x0000_t136" style="position:absolute;left:0;text-align:left;margin-left:0;margin-top:0;width:434.25pt;height:217.1pt;rotation:315;z-index:-251649024;mso-position-horizontal:center;mso-position-horizontal-relative:margin;mso-position-vertical:center;mso-position-vertical-relative:margin" o:allowincell="f" fillcolor="silver" stroked="f">
          <v:fill opacity=".5"/>
          <v:textpath style="font-family:&quot;Times&quot;;font-size:1pt" string="DRÖ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9C36" w14:textId="257B5E67" w:rsidR="000A4392" w:rsidRDefault="00F469ED" w:rsidP="006B4431">
    <w:pPr>
      <w:pStyle w:val="Header"/>
      <w:tabs>
        <w:tab w:val="clear" w:pos="4153"/>
        <w:tab w:val="clear" w:pos="8306"/>
        <w:tab w:val="right" w:pos="7938"/>
      </w:tabs>
      <w:ind w:firstLine="0"/>
    </w:pPr>
    <w:r>
      <w:pict w14:anchorId="13E078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9631536" o:spid="_x0000_s8198" type="#_x0000_t136" style="position:absolute;left:0;text-align:left;margin-left:0;margin-top:0;width:434.25pt;height:217.1pt;rotation:315;z-index:-251646976;mso-position-horizontal:center;mso-position-horizontal-relative:margin;mso-position-vertical:center;mso-position-vertical-relative:margin" o:allowincell="f" fillcolor="silver" stroked="f">
          <v:fill opacity=".5"/>
          <v:textpath style="font-family:&quot;Times&quot;;font-size:1pt" string="DRÖG"/>
        </v:shape>
      </w:pict>
    </w:r>
  </w:p>
  <w:p w14:paraId="69B0B056" w14:textId="77777777" w:rsidR="000A4392" w:rsidRDefault="000A4392" w:rsidP="006B4431">
    <w:pPr>
      <w:pStyle w:val="Header"/>
      <w:tabs>
        <w:tab w:val="clear" w:pos="4153"/>
        <w:tab w:val="clear" w:pos="8306"/>
        <w:tab w:val="right" w:pos="7938"/>
      </w:tabs>
      <w:ind w:firstLine="0"/>
    </w:pPr>
  </w:p>
  <w:p w14:paraId="3A69C296" w14:textId="77777777" w:rsidR="000A4392" w:rsidRDefault="000A4392" w:rsidP="006B4431">
    <w:pPr>
      <w:pStyle w:val="Header"/>
      <w:tabs>
        <w:tab w:val="clear" w:pos="4153"/>
        <w:tab w:val="clear" w:pos="8306"/>
        <w:tab w:val="right" w:pos="7938"/>
      </w:tabs>
      <w:ind w:firstLine="0"/>
    </w:pPr>
  </w:p>
  <w:p w14:paraId="065ACB30" w14:textId="77777777" w:rsidR="000A4392" w:rsidRDefault="000A4392" w:rsidP="006B4431">
    <w:pPr>
      <w:pStyle w:val="Header"/>
      <w:tabs>
        <w:tab w:val="clear" w:pos="4153"/>
        <w:tab w:val="clear" w:pos="8306"/>
        <w:tab w:val="right" w:pos="7938"/>
      </w:tabs>
      <w:ind w:firstLine="0"/>
    </w:pPr>
  </w:p>
  <w:p w14:paraId="6431A9FB" w14:textId="77777777" w:rsidR="000A4392" w:rsidRDefault="000A4392" w:rsidP="006B4431">
    <w:pPr>
      <w:pStyle w:val="Header"/>
      <w:tabs>
        <w:tab w:val="clear" w:pos="4153"/>
        <w:tab w:val="clear" w:pos="8306"/>
        <w:tab w:val="right" w:pos="7938"/>
      </w:tabs>
      <w:ind w:firstLine="0"/>
    </w:pPr>
  </w:p>
  <w:p w14:paraId="6052EF34" w14:textId="77777777" w:rsidR="000A4392" w:rsidRDefault="00F75093" w:rsidP="00086235">
    <w:pPr>
      <w:pStyle w:val="Header"/>
      <w:tabs>
        <w:tab w:val="clear" w:pos="397"/>
        <w:tab w:val="clear" w:pos="709"/>
        <w:tab w:val="clear" w:pos="4153"/>
        <w:tab w:val="clear" w:pos="8306"/>
        <w:tab w:val="right" w:pos="8505"/>
      </w:tabs>
      <w:ind w:firstLine="0"/>
    </w:pPr>
    <w:r>
      <w:t xml:space="preserve">Nr. </w:t>
    </w:r>
    <w:r w:rsidR="00A0269A">
      <w:t>...</w:t>
    </w:r>
    <w:r>
      <w:tab/>
    </w:r>
    <w:r w:rsidR="00A0269A">
      <w:t>...</w:t>
    </w:r>
    <w:r w:rsidR="004E1935">
      <w:t xml:space="preserve"> </w:t>
    </w:r>
    <w:r>
      <w:t>20</w:t>
    </w:r>
    <w:r w:rsidR="00A0269A">
      <w:t>2</w:t>
    </w:r>
    <w:r w:rsidR="00F4792F">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42C82" w14:textId="16D8F8FF" w:rsidR="00F469ED" w:rsidRDefault="00F469ED">
    <w:pPr>
      <w:pStyle w:val="Header"/>
    </w:pPr>
    <w:r>
      <w:pict w14:anchorId="65700E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9631534" o:spid="_x0000_s8196" type="#_x0000_t136" style="position:absolute;left:0;text-align:left;margin-left:0;margin-top:0;width:434.25pt;height:217.1pt;rotation:315;z-index:-251651072;mso-position-horizontal:center;mso-position-horizontal-relative:margin;mso-position-vertical:center;mso-position-vertical-relative:margin" o:allowincell="f" fillcolor="silver" stroked="f">
          <v:fill opacity=".5"/>
          <v:textpath style="font-family:&quot;Times&quot;;font-size:1pt" string="DRÖ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1E7A691"/>
    <w:multiLevelType w:val="hybridMultilevel"/>
    <w:tmpl w:val="D610C002"/>
    <w:lvl w:ilvl="0" w:tplc="17E62564">
      <w:start w:val="1"/>
      <w:numFmt w:val="decimal"/>
      <w:lvlText w:val="%1)"/>
      <w:lvlJc w:val="left"/>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B3E4C226">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6F5E1E"/>
    <w:multiLevelType w:val="hybridMultilevel"/>
    <w:tmpl w:val="D03C15DE"/>
    <w:lvl w:ilvl="0" w:tplc="040F000F">
      <w:start w:val="1"/>
      <w:numFmt w:val="decimal"/>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2" w15:restartNumberingAfterBreak="0">
    <w:nsid w:val="2AEE1C9C"/>
    <w:multiLevelType w:val="hybridMultilevel"/>
    <w:tmpl w:val="46F46FC0"/>
    <w:lvl w:ilvl="0" w:tplc="40988AFC">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grammar="clean"/>
  <w:defaultTabStop w:val="708"/>
  <w:hyphenationZone w:val="425"/>
  <w:characterSpacingControl w:val="doNotCompress"/>
  <w:hdrShapeDefaults>
    <o:shapedefaults v:ext="edit" spidmax="8199"/>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935"/>
    <w:rsid w:val="000130AF"/>
    <w:rsid w:val="00023E09"/>
    <w:rsid w:val="0004346C"/>
    <w:rsid w:val="000469DE"/>
    <w:rsid w:val="00053CF2"/>
    <w:rsid w:val="00054EA9"/>
    <w:rsid w:val="00055884"/>
    <w:rsid w:val="00064860"/>
    <w:rsid w:val="0008511C"/>
    <w:rsid w:val="00086235"/>
    <w:rsid w:val="000A305F"/>
    <w:rsid w:val="000A4392"/>
    <w:rsid w:val="000B3DA2"/>
    <w:rsid w:val="000B4ED4"/>
    <w:rsid w:val="000C3BD5"/>
    <w:rsid w:val="00106E79"/>
    <w:rsid w:val="00110CD7"/>
    <w:rsid w:val="001134BD"/>
    <w:rsid w:val="001420A8"/>
    <w:rsid w:val="00155AD1"/>
    <w:rsid w:val="001561BD"/>
    <w:rsid w:val="001740BB"/>
    <w:rsid w:val="001808A6"/>
    <w:rsid w:val="001B50D5"/>
    <w:rsid w:val="001B7372"/>
    <w:rsid w:val="001C0006"/>
    <w:rsid w:val="001C0833"/>
    <w:rsid w:val="001C59D7"/>
    <w:rsid w:val="001C60E0"/>
    <w:rsid w:val="001D10C3"/>
    <w:rsid w:val="001D209E"/>
    <w:rsid w:val="001D64A6"/>
    <w:rsid w:val="001E112F"/>
    <w:rsid w:val="001F3D24"/>
    <w:rsid w:val="001F45AB"/>
    <w:rsid w:val="00211068"/>
    <w:rsid w:val="00212F5D"/>
    <w:rsid w:val="00215D1B"/>
    <w:rsid w:val="0023487E"/>
    <w:rsid w:val="002450C8"/>
    <w:rsid w:val="00254B0C"/>
    <w:rsid w:val="00257177"/>
    <w:rsid w:val="00272E1C"/>
    <w:rsid w:val="002849E4"/>
    <w:rsid w:val="002926D1"/>
    <w:rsid w:val="002A0FD9"/>
    <w:rsid w:val="002A2BBD"/>
    <w:rsid w:val="002A77D0"/>
    <w:rsid w:val="002B0B0B"/>
    <w:rsid w:val="002B1B0B"/>
    <w:rsid w:val="002B5A8D"/>
    <w:rsid w:val="002C5FFC"/>
    <w:rsid w:val="002D72D2"/>
    <w:rsid w:val="002E15E3"/>
    <w:rsid w:val="002F32BF"/>
    <w:rsid w:val="002F6062"/>
    <w:rsid w:val="003009FB"/>
    <w:rsid w:val="0031021D"/>
    <w:rsid w:val="00310670"/>
    <w:rsid w:val="0031723C"/>
    <w:rsid w:val="003222E9"/>
    <w:rsid w:val="003253C9"/>
    <w:rsid w:val="0033356D"/>
    <w:rsid w:val="00340A60"/>
    <w:rsid w:val="00344CF6"/>
    <w:rsid w:val="0034638B"/>
    <w:rsid w:val="0035232E"/>
    <w:rsid w:val="0035309C"/>
    <w:rsid w:val="00355313"/>
    <w:rsid w:val="00357715"/>
    <w:rsid w:val="00367D45"/>
    <w:rsid w:val="00370880"/>
    <w:rsid w:val="00372D49"/>
    <w:rsid w:val="00391FD9"/>
    <w:rsid w:val="00397DDC"/>
    <w:rsid w:val="003B1288"/>
    <w:rsid w:val="003C0878"/>
    <w:rsid w:val="003C4B28"/>
    <w:rsid w:val="003D4FD4"/>
    <w:rsid w:val="003F2E2D"/>
    <w:rsid w:val="004128D7"/>
    <w:rsid w:val="004148D0"/>
    <w:rsid w:val="00444646"/>
    <w:rsid w:val="00466D5F"/>
    <w:rsid w:val="00485869"/>
    <w:rsid w:val="00485FDB"/>
    <w:rsid w:val="00486EA0"/>
    <w:rsid w:val="004B2BC1"/>
    <w:rsid w:val="004C36F6"/>
    <w:rsid w:val="004E0519"/>
    <w:rsid w:val="004E0AB7"/>
    <w:rsid w:val="004E1935"/>
    <w:rsid w:val="004F6FDD"/>
    <w:rsid w:val="0050133A"/>
    <w:rsid w:val="0051546C"/>
    <w:rsid w:val="00521D79"/>
    <w:rsid w:val="005329CB"/>
    <w:rsid w:val="00532CD0"/>
    <w:rsid w:val="0054117A"/>
    <w:rsid w:val="00551121"/>
    <w:rsid w:val="005514A0"/>
    <w:rsid w:val="005522BB"/>
    <w:rsid w:val="00553D4A"/>
    <w:rsid w:val="00565C3D"/>
    <w:rsid w:val="00571559"/>
    <w:rsid w:val="00584059"/>
    <w:rsid w:val="00592AC6"/>
    <w:rsid w:val="005A4E70"/>
    <w:rsid w:val="005A63A9"/>
    <w:rsid w:val="005A7F1F"/>
    <w:rsid w:val="005B05A1"/>
    <w:rsid w:val="005B686B"/>
    <w:rsid w:val="005C4F3F"/>
    <w:rsid w:val="005C6F61"/>
    <w:rsid w:val="005D10D9"/>
    <w:rsid w:val="005D7946"/>
    <w:rsid w:val="005F412B"/>
    <w:rsid w:val="005F7589"/>
    <w:rsid w:val="00604A65"/>
    <w:rsid w:val="00604FA8"/>
    <w:rsid w:val="0061302C"/>
    <w:rsid w:val="0061554C"/>
    <w:rsid w:val="00616318"/>
    <w:rsid w:val="00623437"/>
    <w:rsid w:val="00634829"/>
    <w:rsid w:val="00642983"/>
    <w:rsid w:val="006514B0"/>
    <w:rsid w:val="00656EFE"/>
    <w:rsid w:val="00670D1F"/>
    <w:rsid w:val="00686D8D"/>
    <w:rsid w:val="006A500F"/>
    <w:rsid w:val="006B142F"/>
    <w:rsid w:val="006B36BB"/>
    <w:rsid w:val="006B4431"/>
    <w:rsid w:val="006C3F96"/>
    <w:rsid w:val="006C5DA7"/>
    <w:rsid w:val="006C7732"/>
    <w:rsid w:val="006D3C8D"/>
    <w:rsid w:val="006D70EA"/>
    <w:rsid w:val="006E3E8C"/>
    <w:rsid w:val="006F02EA"/>
    <w:rsid w:val="0070022B"/>
    <w:rsid w:val="007059E0"/>
    <w:rsid w:val="0070742E"/>
    <w:rsid w:val="00717432"/>
    <w:rsid w:val="00721A82"/>
    <w:rsid w:val="00721B03"/>
    <w:rsid w:val="007419BB"/>
    <w:rsid w:val="00743A20"/>
    <w:rsid w:val="0074682B"/>
    <w:rsid w:val="0075112A"/>
    <w:rsid w:val="00752117"/>
    <w:rsid w:val="007525FD"/>
    <w:rsid w:val="00752A94"/>
    <w:rsid w:val="00770699"/>
    <w:rsid w:val="007735C8"/>
    <w:rsid w:val="00775533"/>
    <w:rsid w:val="00782967"/>
    <w:rsid w:val="00793B0C"/>
    <w:rsid w:val="007A24DC"/>
    <w:rsid w:val="007A4524"/>
    <w:rsid w:val="007B2CAE"/>
    <w:rsid w:val="007C2507"/>
    <w:rsid w:val="007D1ABF"/>
    <w:rsid w:val="007E4124"/>
    <w:rsid w:val="00810DC1"/>
    <w:rsid w:val="00823E54"/>
    <w:rsid w:val="00830F32"/>
    <w:rsid w:val="00840702"/>
    <w:rsid w:val="008578EA"/>
    <w:rsid w:val="00861DCD"/>
    <w:rsid w:val="00877374"/>
    <w:rsid w:val="0088108D"/>
    <w:rsid w:val="008862B1"/>
    <w:rsid w:val="008933D4"/>
    <w:rsid w:val="008B2CB3"/>
    <w:rsid w:val="008C03C0"/>
    <w:rsid w:val="008C5A42"/>
    <w:rsid w:val="008D26DE"/>
    <w:rsid w:val="008E4C22"/>
    <w:rsid w:val="008F0DCD"/>
    <w:rsid w:val="008F106B"/>
    <w:rsid w:val="00905025"/>
    <w:rsid w:val="009066F8"/>
    <w:rsid w:val="00930151"/>
    <w:rsid w:val="009306BD"/>
    <w:rsid w:val="00941656"/>
    <w:rsid w:val="0097426D"/>
    <w:rsid w:val="009762DE"/>
    <w:rsid w:val="0098330F"/>
    <w:rsid w:val="00990CBD"/>
    <w:rsid w:val="009A476A"/>
    <w:rsid w:val="009A48D3"/>
    <w:rsid w:val="009B0361"/>
    <w:rsid w:val="009C1FE1"/>
    <w:rsid w:val="009D0C13"/>
    <w:rsid w:val="009D1E20"/>
    <w:rsid w:val="00A00B6A"/>
    <w:rsid w:val="00A0269A"/>
    <w:rsid w:val="00A07BAF"/>
    <w:rsid w:val="00A211D0"/>
    <w:rsid w:val="00A61F70"/>
    <w:rsid w:val="00A63DA6"/>
    <w:rsid w:val="00A668E2"/>
    <w:rsid w:val="00A733AD"/>
    <w:rsid w:val="00A77D74"/>
    <w:rsid w:val="00A945F5"/>
    <w:rsid w:val="00AA3B94"/>
    <w:rsid w:val="00AB0FF1"/>
    <w:rsid w:val="00AD16A1"/>
    <w:rsid w:val="00AD58D4"/>
    <w:rsid w:val="00AE4339"/>
    <w:rsid w:val="00AE6F6A"/>
    <w:rsid w:val="00AF070A"/>
    <w:rsid w:val="00AF133F"/>
    <w:rsid w:val="00AF21AA"/>
    <w:rsid w:val="00AF6250"/>
    <w:rsid w:val="00B113CE"/>
    <w:rsid w:val="00B15D96"/>
    <w:rsid w:val="00B35D2B"/>
    <w:rsid w:val="00B41879"/>
    <w:rsid w:val="00B55E88"/>
    <w:rsid w:val="00B6655B"/>
    <w:rsid w:val="00B769F5"/>
    <w:rsid w:val="00B86232"/>
    <w:rsid w:val="00B86BD9"/>
    <w:rsid w:val="00B86F75"/>
    <w:rsid w:val="00BA17DC"/>
    <w:rsid w:val="00BB1789"/>
    <w:rsid w:val="00BB4D06"/>
    <w:rsid w:val="00BD680D"/>
    <w:rsid w:val="00BE3365"/>
    <w:rsid w:val="00BF1E68"/>
    <w:rsid w:val="00BF1EFC"/>
    <w:rsid w:val="00BF3E84"/>
    <w:rsid w:val="00C01933"/>
    <w:rsid w:val="00C14345"/>
    <w:rsid w:val="00C1744B"/>
    <w:rsid w:val="00C175DA"/>
    <w:rsid w:val="00C209DA"/>
    <w:rsid w:val="00C3570D"/>
    <w:rsid w:val="00C36C7B"/>
    <w:rsid w:val="00C577B2"/>
    <w:rsid w:val="00C611D0"/>
    <w:rsid w:val="00C916C8"/>
    <w:rsid w:val="00CA01E2"/>
    <w:rsid w:val="00CA020A"/>
    <w:rsid w:val="00CB315C"/>
    <w:rsid w:val="00CC71E2"/>
    <w:rsid w:val="00CD7FF8"/>
    <w:rsid w:val="00CF738F"/>
    <w:rsid w:val="00D036D7"/>
    <w:rsid w:val="00D03C45"/>
    <w:rsid w:val="00D20E53"/>
    <w:rsid w:val="00D27443"/>
    <w:rsid w:val="00D33D7D"/>
    <w:rsid w:val="00D33F11"/>
    <w:rsid w:val="00D4360B"/>
    <w:rsid w:val="00D61388"/>
    <w:rsid w:val="00D703E7"/>
    <w:rsid w:val="00D714EA"/>
    <w:rsid w:val="00DA0384"/>
    <w:rsid w:val="00DA0481"/>
    <w:rsid w:val="00DA0B89"/>
    <w:rsid w:val="00DA4C9D"/>
    <w:rsid w:val="00DA5BA6"/>
    <w:rsid w:val="00DA7BCD"/>
    <w:rsid w:val="00DB35D9"/>
    <w:rsid w:val="00DC1AD9"/>
    <w:rsid w:val="00DD2F58"/>
    <w:rsid w:val="00DD48C5"/>
    <w:rsid w:val="00DD7CD0"/>
    <w:rsid w:val="00DE4021"/>
    <w:rsid w:val="00DF692E"/>
    <w:rsid w:val="00E00060"/>
    <w:rsid w:val="00E06B78"/>
    <w:rsid w:val="00E329E7"/>
    <w:rsid w:val="00E41F53"/>
    <w:rsid w:val="00E44C2F"/>
    <w:rsid w:val="00E46532"/>
    <w:rsid w:val="00E6248C"/>
    <w:rsid w:val="00E63029"/>
    <w:rsid w:val="00E67A15"/>
    <w:rsid w:val="00E737C1"/>
    <w:rsid w:val="00E7592E"/>
    <w:rsid w:val="00E77153"/>
    <w:rsid w:val="00E85F9F"/>
    <w:rsid w:val="00E87A3B"/>
    <w:rsid w:val="00E96C8B"/>
    <w:rsid w:val="00EA6037"/>
    <w:rsid w:val="00EB754F"/>
    <w:rsid w:val="00ED335F"/>
    <w:rsid w:val="00ED4AC1"/>
    <w:rsid w:val="00ED4EFA"/>
    <w:rsid w:val="00ED7FA5"/>
    <w:rsid w:val="00EE0E91"/>
    <w:rsid w:val="00EE24C8"/>
    <w:rsid w:val="00EE5F35"/>
    <w:rsid w:val="00F05743"/>
    <w:rsid w:val="00F05EAD"/>
    <w:rsid w:val="00F1205C"/>
    <w:rsid w:val="00F23555"/>
    <w:rsid w:val="00F469ED"/>
    <w:rsid w:val="00F4792F"/>
    <w:rsid w:val="00F53D5C"/>
    <w:rsid w:val="00F562F1"/>
    <w:rsid w:val="00F60469"/>
    <w:rsid w:val="00F710CF"/>
    <w:rsid w:val="00F75093"/>
    <w:rsid w:val="00F76514"/>
    <w:rsid w:val="00F91734"/>
    <w:rsid w:val="00F954C4"/>
    <w:rsid w:val="00FA03CC"/>
    <w:rsid w:val="00FB7F35"/>
    <w:rsid w:val="00FD790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ecimalSymbol w:val=","/>
  <w:listSeparator w:val=";"/>
  <w14:docId w14:val="4F17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7DC"/>
    <w:pPr>
      <w:tabs>
        <w:tab w:val="left" w:pos="397"/>
        <w:tab w:val="left" w:pos="709"/>
      </w:tabs>
      <w:ind w:firstLine="397"/>
      <w:jc w:val="both"/>
    </w:pPr>
    <w:rPr>
      <w:rFonts w:ascii="Times" w:hAnsi="Times"/>
      <w:noProof/>
      <w:sz w:val="21"/>
      <w:szCs w:val="24"/>
      <w:lang w:eastAsia="en-US"/>
    </w:rPr>
  </w:style>
  <w:style w:type="paragraph" w:styleId="Heading1">
    <w:name w:val="heading 1"/>
    <w:basedOn w:val="Normal"/>
    <w:next w:val="Normal"/>
    <w:link w:val="Heading1Char"/>
    <w:autoRedefine/>
    <w:qFormat/>
    <w:rsid w:val="004128D7"/>
    <w:pPr>
      <w:keepNext/>
      <w:tabs>
        <w:tab w:val="right" w:pos="7796"/>
      </w:tabs>
      <w:spacing w:before="240" w:after="60"/>
      <w:ind w:firstLine="0"/>
      <w:jc w:val="center"/>
      <w:outlineLvl w:val="0"/>
    </w:pPr>
    <w:rPr>
      <w:noProof w:val="0"/>
      <w:spacing w:val="32"/>
      <w:kern w:val="28"/>
      <w:sz w:val="32"/>
      <w:szCs w:val="20"/>
      <w:lang w:eastAsia="en-GB"/>
    </w:rPr>
  </w:style>
  <w:style w:type="paragraph" w:styleId="Heading2">
    <w:name w:val="heading 2"/>
    <w:basedOn w:val="Normal"/>
    <w:next w:val="Normal"/>
    <w:link w:val="Heading2Char"/>
    <w:autoRedefine/>
    <w:unhideWhenUsed/>
    <w:qFormat/>
    <w:rsid w:val="004128D7"/>
    <w:pPr>
      <w:keepNext/>
      <w:tabs>
        <w:tab w:val="right" w:pos="7796"/>
      </w:tabs>
      <w:ind w:firstLine="0"/>
      <w:jc w:val="center"/>
      <w:outlineLvl w:val="1"/>
    </w:pPr>
    <w:rPr>
      <w:b/>
      <w:noProof w:val="0"/>
      <w:szCs w:val="20"/>
      <w:lang w:eastAsia="en-GB"/>
    </w:rPr>
  </w:style>
  <w:style w:type="paragraph" w:styleId="Heading3">
    <w:name w:val="heading 3"/>
    <w:basedOn w:val="Normal"/>
    <w:next w:val="Normal"/>
    <w:link w:val="Heading3Char"/>
    <w:autoRedefine/>
    <w:qFormat/>
    <w:rsid w:val="00DB35D9"/>
    <w:pPr>
      <w:keepNext/>
      <w:tabs>
        <w:tab w:val="right" w:pos="7796"/>
      </w:tabs>
      <w:ind w:firstLine="0"/>
      <w:jc w:val="center"/>
      <w:outlineLvl w:val="2"/>
    </w:pPr>
    <w:rPr>
      <w:strike/>
      <w:noProof w:val="0"/>
      <w:szCs w:val="20"/>
      <w:lang w:eastAsia="en-GB"/>
    </w:rPr>
  </w:style>
  <w:style w:type="paragraph" w:styleId="Heading4">
    <w:name w:val="heading 4"/>
    <w:basedOn w:val="Normal"/>
    <w:next w:val="Normal"/>
    <w:link w:val="Heading4Char"/>
    <w:autoRedefine/>
    <w:unhideWhenUsed/>
    <w:qFormat/>
    <w:rsid w:val="00485869"/>
    <w:pPr>
      <w:keepNext/>
      <w:tabs>
        <w:tab w:val="right" w:pos="7796"/>
      </w:tabs>
      <w:ind w:firstLine="0"/>
      <w:jc w:val="center"/>
      <w:outlineLvl w:val="3"/>
    </w:pPr>
    <w:rPr>
      <w:bCs/>
      <w:i/>
      <w:strike/>
      <w:noProof w:val="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B35D9"/>
    <w:rPr>
      <w:rFonts w:ascii="Times" w:hAnsi="Times"/>
      <w:strike/>
      <w:sz w:val="21"/>
      <w:lang w:eastAsia="en-GB"/>
    </w:rPr>
  </w:style>
  <w:style w:type="paragraph" w:styleId="Header">
    <w:name w:val="header"/>
    <w:basedOn w:val="Normal"/>
    <w:link w:val="HeaderChar"/>
    <w:rsid w:val="000130AF"/>
    <w:pPr>
      <w:tabs>
        <w:tab w:val="center" w:pos="4153"/>
        <w:tab w:val="right" w:pos="8306"/>
      </w:tabs>
    </w:pPr>
    <w:rPr>
      <w:szCs w:val="20"/>
      <w:lang w:eastAsia="en-GB"/>
    </w:rPr>
  </w:style>
  <w:style w:type="character" w:customStyle="1" w:styleId="HeaderChar">
    <w:name w:val="Header Char"/>
    <w:basedOn w:val="DefaultParagraphFont"/>
    <w:link w:val="Header"/>
    <w:rsid w:val="000130AF"/>
    <w:rPr>
      <w:rFonts w:ascii="Times" w:eastAsia="Times New Roman" w:hAnsi="Times" w:cs="Times New Roman"/>
      <w:sz w:val="21"/>
      <w:szCs w:val="20"/>
      <w:lang w:eastAsia="en-GB"/>
    </w:rPr>
  </w:style>
  <w:style w:type="paragraph" w:customStyle="1" w:styleId="fhundirskr">
    <w:name w:val="fhundirskr"/>
    <w:basedOn w:val="Heading3"/>
    <w:autoRedefine/>
    <w:qFormat/>
    <w:rsid w:val="00BA17DC"/>
    <w:pPr>
      <w:spacing w:before="80" w:after="80"/>
      <w:outlineLvl w:val="9"/>
    </w:pPr>
  </w:style>
  <w:style w:type="paragraph" w:styleId="Footer">
    <w:name w:val="footer"/>
    <w:basedOn w:val="Normal"/>
    <w:link w:val="FooterChar"/>
    <w:uiPriority w:val="99"/>
    <w:unhideWhenUsed/>
    <w:rsid w:val="000130AF"/>
    <w:pPr>
      <w:tabs>
        <w:tab w:val="center" w:pos="4536"/>
        <w:tab w:val="right" w:pos="9072"/>
      </w:tabs>
    </w:pPr>
  </w:style>
  <w:style w:type="character" w:customStyle="1" w:styleId="FooterChar">
    <w:name w:val="Footer Char"/>
    <w:basedOn w:val="DefaultParagraphFont"/>
    <w:link w:val="Footer"/>
    <w:uiPriority w:val="99"/>
    <w:rsid w:val="000130AF"/>
  </w:style>
  <w:style w:type="character" w:customStyle="1" w:styleId="Heading1Char">
    <w:name w:val="Heading 1 Char"/>
    <w:basedOn w:val="DefaultParagraphFont"/>
    <w:link w:val="Heading1"/>
    <w:rsid w:val="004128D7"/>
    <w:rPr>
      <w:rFonts w:ascii="Times" w:eastAsia="Times New Roman" w:hAnsi="Times" w:cs="Times New Roman"/>
      <w:spacing w:val="32"/>
      <w:kern w:val="28"/>
      <w:sz w:val="32"/>
      <w:szCs w:val="20"/>
      <w:lang w:eastAsia="en-GB"/>
    </w:rPr>
  </w:style>
  <w:style w:type="character" w:customStyle="1" w:styleId="Heading2Char">
    <w:name w:val="Heading 2 Char"/>
    <w:basedOn w:val="DefaultParagraphFont"/>
    <w:link w:val="Heading2"/>
    <w:rsid w:val="004128D7"/>
    <w:rPr>
      <w:rFonts w:ascii="Times" w:eastAsia="Times New Roman" w:hAnsi="Times" w:cs="Times New Roman"/>
      <w:b/>
      <w:sz w:val="21"/>
      <w:szCs w:val="20"/>
      <w:lang w:eastAsia="en-GB"/>
    </w:rPr>
  </w:style>
  <w:style w:type="character" w:customStyle="1" w:styleId="Heading4Char">
    <w:name w:val="Heading 4 Char"/>
    <w:basedOn w:val="DefaultParagraphFont"/>
    <w:link w:val="Heading4"/>
    <w:rsid w:val="00485869"/>
    <w:rPr>
      <w:rFonts w:ascii="Times" w:hAnsi="Times"/>
      <w:bCs/>
      <w:i/>
      <w:strike/>
      <w:sz w:val="21"/>
      <w:szCs w:val="28"/>
      <w:lang w:eastAsia="en-GB"/>
    </w:rPr>
  </w:style>
  <w:style w:type="paragraph" w:customStyle="1" w:styleId="Undirritun1">
    <w:name w:val="Undirritun 1"/>
    <w:basedOn w:val="Normal"/>
    <w:autoRedefine/>
    <w:qFormat/>
    <w:rsid w:val="009A476A"/>
    <w:pPr>
      <w:tabs>
        <w:tab w:val="right" w:pos="7796"/>
      </w:tabs>
      <w:ind w:firstLine="0"/>
      <w:jc w:val="center"/>
    </w:pPr>
    <w:rPr>
      <w:b/>
      <w:szCs w:val="20"/>
      <w:lang w:eastAsia="en-GB"/>
    </w:rPr>
  </w:style>
  <w:style w:type="paragraph" w:customStyle="1" w:styleId="Undirritun2">
    <w:name w:val="Undirritun 2"/>
    <w:basedOn w:val="Normal"/>
    <w:autoRedefine/>
    <w:qFormat/>
    <w:rsid w:val="00064860"/>
    <w:pPr>
      <w:pBdr>
        <w:top w:val="single" w:sz="4" w:space="1" w:color="auto"/>
      </w:pBdr>
      <w:tabs>
        <w:tab w:val="right" w:pos="7796"/>
      </w:tabs>
      <w:ind w:left="6237" w:firstLine="0"/>
      <w:jc w:val="left"/>
    </w:pPr>
    <w:rPr>
      <w:i/>
      <w:szCs w:val="20"/>
      <w:lang w:eastAsia="en-GB"/>
    </w:rPr>
  </w:style>
  <w:style w:type="paragraph" w:customStyle="1" w:styleId="Dagsetning">
    <w:name w:val="Dagsetning"/>
    <w:basedOn w:val="Normal"/>
    <w:rsid w:val="004E1935"/>
    <w:pPr>
      <w:tabs>
        <w:tab w:val="clear" w:pos="709"/>
      </w:tabs>
      <w:ind w:firstLine="0"/>
      <w:jc w:val="center"/>
    </w:pPr>
    <w:rPr>
      <w:i/>
      <w:noProof w:val="0"/>
      <w:szCs w:val="20"/>
      <w:lang w:eastAsia="is-IS"/>
    </w:rPr>
  </w:style>
  <w:style w:type="paragraph" w:styleId="BodyTextIndent">
    <w:name w:val="Body Text Indent"/>
    <w:basedOn w:val="Normal"/>
    <w:link w:val="BodyTextIndentChar"/>
    <w:uiPriority w:val="99"/>
    <w:unhideWhenUsed/>
    <w:rsid w:val="004E1935"/>
    <w:pPr>
      <w:tabs>
        <w:tab w:val="clear" w:pos="709"/>
        <w:tab w:val="right" w:pos="7796"/>
      </w:tabs>
    </w:pPr>
    <w:rPr>
      <w:noProof w:val="0"/>
      <w:szCs w:val="20"/>
      <w:lang w:eastAsia="is-IS"/>
    </w:rPr>
  </w:style>
  <w:style w:type="character" w:customStyle="1" w:styleId="BodyTextIndentChar">
    <w:name w:val="Body Text Indent Char"/>
    <w:basedOn w:val="DefaultParagraphFont"/>
    <w:link w:val="BodyTextIndent"/>
    <w:uiPriority w:val="99"/>
    <w:rsid w:val="004E1935"/>
    <w:rPr>
      <w:rFonts w:ascii="Times" w:hAnsi="Times"/>
      <w:sz w:val="21"/>
    </w:rPr>
  </w:style>
  <w:style w:type="paragraph" w:styleId="ListParagraph">
    <w:name w:val="List Paragraph"/>
    <w:basedOn w:val="Normal"/>
    <w:uiPriority w:val="34"/>
    <w:qFormat/>
    <w:rsid w:val="004E1935"/>
    <w:pPr>
      <w:ind w:left="720"/>
      <w:contextualSpacing/>
    </w:pPr>
  </w:style>
  <w:style w:type="paragraph" w:styleId="BalloonText">
    <w:name w:val="Balloon Text"/>
    <w:basedOn w:val="Normal"/>
    <w:link w:val="BalloonTextChar"/>
    <w:uiPriority w:val="99"/>
    <w:semiHidden/>
    <w:unhideWhenUsed/>
    <w:rsid w:val="000851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11C"/>
    <w:rPr>
      <w:rFonts w:ascii="Segoe UI" w:hAnsi="Segoe UI" w:cs="Segoe UI"/>
      <w:noProof/>
      <w:sz w:val="18"/>
      <w:szCs w:val="18"/>
      <w:lang w:eastAsia="en-US"/>
    </w:rPr>
  </w:style>
  <w:style w:type="character" w:styleId="CommentReference">
    <w:name w:val="annotation reference"/>
    <w:basedOn w:val="DefaultParagraphFont"/>
    <w:uiPriority w:val="99"/>
    <w:semiHidden/>
    <w:unhideWhenUsed/>
    <w:rsid w:val="0070022B"/>
    <w:rPr>
      <w:sz w:val="16"/>
      <w:szCs w:val="16"/>
    </w:rPr>
  </w:style>
  <w:style w:type="paragraph" w:styleId="CommentText">
    <w:name w:val="annotation text"/>
    <w:basedOn w:val="Normal"/>
    <w:link w:val="CommentTextChar"/>
    <w:uiPriority w:val="99"/>
    <w:semiHidden/>
    <w:unhideWhenUsed/>
    <w:rsid w:val="0070022B"/>
    <w:rPr>
      <w:sz w:val="20"/>
      <w:szCs w:val="20"/>
    </w:rPr>
  </w:style>
  <w:style w:type="character" w:customStyle="1" w:styleId="CommentTextChar">
    <w:name w:val="Comment Text Char"/>
    <w:basedOn w:val="DefaultParagraphFont"/>
    <w:link w:val="CommentText"/>
    <w:uiPriority w:val="99"/>
    <w:semiHidden/>
    <w:rsid w:val="0070022B"/>
    <w:rPr>
      <w:rFonts w:ascii="Times" w:hAnsi="Times"/>
      <w:noProof/>
      <w:lang w:eastAsia="en-US"/>
    </w:rPr>
  </w:style>
  <w:style w:type="paragraph" w:styleId="CommentSubject">
    <w:name w:val="annotation subject"/>
    <w:basedOn w:val="CommentText"/>
    <w:next w:val="CommentText"/>
    <w:link w:val="CommentSubjectChar"/>
    <w:uiPriority w:val="99"/>
    <w:semiHidden/>
    <w:unhideWhenUsed/>
    <w:rsid w:val="0070022B"/>
    <w:rPr>
      <w:b/>
      <w:bCs/>
    </w:rPr>
  </w:style>
  <w:style w:type="character" w:customStyle="1" w:styleId="CommentSubjectChar">
    <w:name w:val="Comment Subject Char"/>
    <w:basedOn w:val="CommentTextChar"/>
    <w:link w:val="CommentSubject"/>
    <w:uiPriority w:val="99"/>
    <w:semiHidden/>
    <w:rsid w:val="0070022B"/>
    <w:rPr>
      <w:rFonts w:ascii="Times" w:hAnsi="Times"/>
      <w:b/>
      <w:bCs/>
      <w:noProof/>
      <w:lang w:eastAsia="en-US"/>
    </w:rPr>
  </w:style>
  <w:style w:type="character" w:styleId="Hyperlink">
    <w:name w:val="Hyperlink"/>
    <w:basedOn w:val="DefaultParagraphFont"/>
    <w:uiPriority w:val="99"/>
    <w:unhideWhenUsed/>
    <w:rsid w:val="00257177"/>
    <w:rPr>
      <w:color w:val="0000FF" w:themeColor="hyperlink"/>
      <w:u w:val="single"/>
    </w:rPr>
  </w:style>
  <w:style w:type="character" w:customStyle="1" w:styleId="UnresolvedMention1">
    <w:name w:val="Unresolved Mention1"/>
    <w:basedOn w:val="DefaultParagraphFont"/>
    <w:uiPriority w:val="99"/>
    <w:semiHidden/>
    <w:unhideWhenUsed/>
    <w:rsid w:val="00257177"/>
    <w:rPr>
      <w:color w:val="605E5C"/>
      <w:shd w:val="clear" w:color="auto" w:fill="E1DFDD"/>
    </w:rPr>
  </w:style>
  <w:style w:type="character" w:styleId="FollowedHyperlink">
    <w:name w:val="FollowedHyperlink"/>
    <w:basedOn w:val="DefaultParagraphFont"/>
    <w:uiPriority w:val="99"/>
    <w:semiHidden/>
    <w:unhideWhenUsed/>
    <w:rsid w:val="001D209E"/>
    <w:rPr>
      <w:color w:val="800080" w:themeColor="followedHyperlink"/>
      <w:u w:val="single"/>
    </w:rPr>
  </w:style>
  <w:style w:type="paragraph" w:styleId="Revision">
    <w:name w:val="Revision"/>
    <w:hidden/>
    <w:uiPriority w:val="99"/>
    <w:semiHidden/>
    <w:rsid w:val="00272E1C"/>
    <w:rPr>
      <w:rFonts w:ascii="Times" w:hAnsi="Times"/>
      <w:noProof/>
      <w:sz w:val="21"/>
      <w:szCs w:val="24"/>
      <w:lang w:eastAsia="en-US"/>
    </w:rPr>
  </w:style>
  <w:style w:type="character" w:styleId="UnresolvedMention">
    <w:name w:val="Unresolved Mention"/>
    <w:basedOn w:val="DefaultParagraphFont"/>
    <w:uiPriority w:val="99"/>
    <w:semiHidden/>
    <w:unhideWhenUsed/>
    <w:rsid w:val="007A24DC"/>
    <w:rPr>
      <w:color w:val="605E5C"/>
      <w:shd w:val="clear" w:color="auto" w:fill="E1DFDD"/>
    </w:rPr>
  </w:style>
  <w:style w:type="paragraph" w:styleId="FootnoteText">
    <w:name w:val="footnote text"/>
    <w:basedOn w:val="Normal"/>
    <w:link w:val="FootnoteTextChar"/>
    <w:uiPriority w:val="99"/>
    <w:semiHidden/>
    <w:unhideWhenUsed/>
    <w:rsid w:val="00372D49"/>
    <w:rPr>
      <w:sz w:val="20"/>
      <w:szCs w:val="20"/>
    </w:rPr>
  </w:style>
  <w:style w:type="character" w:customStyle="1" w:styleId="FootnoteTextChar">
    <w:name w:val="Footnote Text Char"/>
    <w:basedOn w:val="DefaultParagraphFont"/>
    <w:link w:val="FootnoteText"/>
    <w:uiPriority w:val="99"/>
    <w:semiHidden/>
    <w:rsid w:val="00372D49"/>
    <w:rPr>
      <w:rFonts w:ascii="Times" w:hAnsi="Times"/>
      <w:noProof/>
      <w:lang w:eastAsia="en-US"/>
    </w:rPr>
  </w:style>
  <w:style w:type="character" w:styleId="FootnoteReference">
    <w:name w:val="footnote reference"/>
    <w:basedOn w:val="DefaultParagraphFont"/>
    <w:uiPriority w:val="99"/>
    <w:semiHidden/>
    <w:unhideWhenUsed/>
    <w:rsid w:val="00372D49"/>
    <w:rPr>
      <w:rFonts w:ascii="Times New Roman" w:hAnsi="Times New Roman"/>
      <w:b w:val="0"/>
      <w:i w:val="0"/>
      <w:color w:val="auto"/>
      <w:position w:val="-2"/>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4748">
      <w:bodyDiv w:val="1"/>
      <w:marLeft w:val="0"/>
      <w:marRight w:val="0"/>
      <w:marTop w:val="0"/>
      <w:marBottom w:val="0"/>
      <w:divBdr>
        <w:top w:val="none" w:sz="0" w:space="0" w:color="auto"/>
        <w:left w:val="none" w:sz="0" w:space="0" w:color="auto"/>
        <w:bottom w:val="none" w:sz="0" w:space="0" w:color="auto"/>
        <w:right w:val="none" w:sz="0" w:space="0" w:color="auto"/>
      </w:divBdr>
    </w:div>
    <w:div w:id="91899861">
      <w:bodyDiv w:val="1"/>
      <w:marLeft w:val="0"/>
      <w:marRight w:val="0"/>
      <w:marTop w:val="0"/>
      <w:marBottom w:val="0"/>
      <w:divBdr>
        <w:top w:val="none" w:sz="0" w:space="0" w:color="auto"/>
        <w:left w:val="none" w:sz="0" w:space="0" w:color="auto"/>
        <w:bottom w:val="none" w:sz="0" w:space="0" w:color="auto"/>
        <w:right w:val="none" w:sz="0" w:space="0" w:color="auto"/>
      </w:divBdr>
    </w:div>
    <w:div w:id="769743974">
      <w:bodyDiv w:val="1"/>
      <w:marLeft w:val="0"/>
      <w:marRight w:val="0"/>
      <w:marTop w:val="0"/>
      <w:marBottom w:val="0"/>
      <w:divBdr>
        <w:top w:val="none" w:sz="0" w:space="0" w:color="auto"/>
        <w:left w:val="none" w:sz="0" w:space="0" w:color="auto"/>
        <w:bottom w:val="none" w:sz="0" w:space="0" w:color="auto"/>
        <w:right w:val="none" w:sz="0" w:space="0" w:color="auto"/>
      </w:divBdr>
    </w:div>
    <w:div w:id="1002203773">
      <w:bodyDiv w:val="1"/>
      <w:marLeft w:val="0"/>
      <w:marRight w:val="0"/>
      <w:marTop w:val="0"/>
      <w:marBottom w:val="0"/>
      <w:divBdr>
        <w:top w:val="none" w:sz="0" w:space="0" w:color="auto"/>
        <w:left w:val="none" w:sz="0" w:space="0" w:color="auto"/>
        <w:bottom w:val="none" w:sz="0" w:space="0" w:color="auto"/>
        <w:right w:val="none" w:sz="0" w:space="0" w:color="auto"/>
      </w:divBdr>
    </w:div>
    <w:div w:id="1084183692">
      <w:bodyDiv w:val="1"/>
      <w:marLeft w:val="0"/>
      <w:marRight w:val="0"/>
      <w:marTop w:val="0"/>
      <w:marBottom w:val="0"/>
      <w:divBdr>
        <w:top w:val="none" w:sz="0" w:space="0" w:color="auto"/>
        <w:left w:val="none" w:sz="0" w:space="0" w:color="auto"/>
        <w:bottom w:val="none" w:sz="0" w:space="0" w:color="auto"/>
        <w:right w:val="none" w:sz="0" w:space="0" w:color="auto"/>
      </w:divBdr>
    </w:div>
    <w:div w:id="161756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ta.int/sites/default/files/documents/legal-texts/eea/other-legal-documents/solr/translated-legal-acts/icelandic/i32016R1014.pdf" TargetMode="External"/><Relationship Id="rId13" Type="http://schemas.openxmlformats.org/officeDocument/2006/relationships/hyperlink" Target="https://eur-lex.europa.eu/legal-content/EN/TXT/?uri=CELEX:32019R087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fta.int/sites/default/files/documents/legal-texts/eea/other-legal-documents/solr/translated-legal-acts/icelandic/i32019R063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fta.int/sites/default/files/images/su-nr-99-is-12-12-2019.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fta.int/sites/default/files/images/su-nr-42-is-25-06-2020.pdf" TargetMode="External"/><Relationship Id="rId4" Type="http://schemas.openxmlformats.org/officeDocument/2006/relationships/settings" Target="settings.xml"/><Relationship Id="rId9" Type="http://schemas.openxmlformats.org/officeDocument/2006/relationships/hyperlink" Target="https://www.efta.int/sites/default/files/images/su-nr-44-is-02-07-2020.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BDC21-0CD2-4FE1-A8B1-01B8D5A1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2021-06-11T09:53:00Z</dcterms:created>
  <dcterms:modified xsi:type="dcterms:W3CDTF">2021-06-11T10:54:00Z</dcterms:modified>
</cp:coreProperties>
</file>