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2A148C" w:rsidRPr="00F62C2F" w14:paraId="5E2364E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2406203C" w14:textId="77777777" w:rsidR="002A148C" w:rsidRPr="00F62C2F" w:rsidRDefault="002A148C" w:rsidP="00DA27FF">
            <w:pPr>
              <w:spacing w:before="120" w:after="120"/>
              <w:jc w:val="center"/>
              <w:rPr>
                <w:rFonts w:ascii="Times New Roman" w:hAnsi="Times New Roman"/>
                <w:b/>
                <w:sz w:val="32"/>
                <w:szCs w:val="32"/>
                <w:lang w:val="is-IS"/>
              </w:rPr>
            </w:pPr>
            <w:bookmarkStart w:id="0" w:name="_Hlk9845409"/>
            <w:r w:rsidRPr="00F62C2F">
              <w:rPr>
                <w:rFonts w:ascii="Times New Roman" w:hAnsi="Times New Roman"/>
                <w:i/>
                <w:noProof/>
              </w:rPr>
              <w:drawing>
                <wp:inline distT="0" distB="0" distL="0" distR="0" wp14:anchorId="0D9015B0" wp14:editId="6B9CB2EA">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A0F75D7" w14:textId="77777777" w:rsidR="002A148C" w:rsidRPr="00F62C2F" w:rsidRDefault="002A148C" w:rsidP="0012646E">
            <w:pPr>
              <w:spacing w:before="400" w:after="120"/>
              <w:rPr>
                <w:rFonts w:ascii="Times New Roman" w:hAnsi="Times New Roman"/>
                <w:b/>
                <w:sz w:val="32"/>
                <w:szCs w:val="32"/>
                <w:lang w:val="is-IS"/>
              </w:rPr>
            </w:pPr>
            <w:r w:rsidRPr="00F62C2F">
              <w:rPr>
                <w:rFonts w:ascii="Times New Roman" w:hAnsi="Times New Roman"/>
                <w:b/>
                <w:sz w:val="32"/>
                <w:szCs w:val="32"/>
                <w:lang w:val="is-IS"/>
              </w:rPr>
              <w:t xml:space="preserve">      MAT Á ÁHRIFUM LAGASETNINGAR*</w:t>
            </w:r>
          </w:p>
          <w:p w14:paraId="5E287CFD" w14:textId="77777777" w:rsidR="002A148C" w:rsidRPr="00F62C2F" w:rsidRDefault="002A148C" w:rsidP="00F33A33">
            <w:pPr>
              <w:spacing w:before="120" w:after="60"/>
              <w:rPr>
                <w:rFonts w:ascii="Times New Roman" w:hAnsi="Times New Roman"/>
                <w:i/>
                <w:lang w:val="is-IS"/>
              </w:rPr>
            </w:pPr>
            <w:r w:rsidRPr="00F62C2F">
              <w:rPr>
                <w:rFonts w:ascii="Times New Roman" w:hAnsi="Times New Roman"/>
                <w:i/>
                <w:lang w:val="is-IS"/>
              </w:rPr>
              <w:t xml:space="preserve">                   – sbr. samþykkt ríkisstjórnar frá 10. mars 2017</w:t>
            </w:r>
          </w:p>
          <w:p w14:paraId="524FE57A" w14:textId="77777777" w:rsidR="002A148C" w:rsidRPr="00F62C2F" w:rsidRDefault="002A148C" w:rsidP="00F33A33">
            <w:pPr>
              <w:spacing w:before="60" w:after="60"/>
              <w:rPr>
                <w:rFonts w:ascii="Times New Roman" w:hAnsi="Times New Roman"/>
                <w:i/>
                <w:lang w:val="is-IS"/>
              </w:rPr>
            </w:pPr>
            <w:r w:rsidRPr="00F62C2F">
              <w:rPr>
                <w:rFonts w:ascii="Times New Roman" w:hAnsi="Times New Roman"/>
                <w:b/>
                <w:sz w:val="32"/>
                <w:szCs w:val="32"/>
                <w:lang w:val="is-IS"/>
              </w:rPr>
              <w:t>*</w:t>
            </w:r>
            <w:r w:rsidRPr="00F62C2F">
              <w:rPr>
                <w:rFonts w:ascii="Times New Roman" w:hAnsi="Times New Roman"/>
                <w:sz w:val="20"/>
                <w:szCs w:val="20"/>
                <w:lang w:val="is-IS"/>
              </w:rPr>
              <w:t>umfjöllun um einstök efnisatriði misjafnlega ítarleg, eftir umfangi máls og eðli</w:t>
            </w:r>
          </w:p>
        </w:tc>
      </w:tr>
      <w:tr w:rsidR="002D6F91" w:rsidRPr="00F62C2F" w14:paraId="4A472375"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0EE35EEB" w14:textId="77777777" w:rsidR="002D6F91" w:rsidRPr="00F62C2F" w:rsidRDefault="002D6F91" w:rsidP="005C52DD">
            <w:pPr>
              <w:spacing w:before="60" w:after="60"/>
              <w:jc w:val="both"/>
              <w:rPr>
                <w:rFonts w:ascii="Times New Roman" w:hAnsi="Times New Roman"/>
                <w:b/>
                <w:lang w:val="is-IS"/>
              </w:rPr>
            </w:pPr>
            <w:r w:rsidRPr="00F62C2F">
              <w:rPr>
                <w:rFonts w:ascii="Times New Roman" w:hAnsi="Times New Roman"/>
                <w:b/>
                <w:lang w:val="is-IS"/>
              </w:rPr>
              <w:t>Málsheiti og nr.</w:t>
            </w:r>
          </w:p>
        </w:tc>
        <w:sdt>
          <w:sdtPr>
            <w:rPr>
              <w:rFonts w:ascii="Times New Roman" w:hAnsi="Times New Roman"/>
            </w:rPr>
            <w:id w:val="764192880"/>
            <w:placeholder>
              <w:docPart w:val="8E493276E69F42C0A30B74FEF0F33FE3"/>
            </w:placeholder>
          </w:sdtPr>
          <w:sdtEndPr/>
          <w:sdtContent>
            <w:tc>
              <w:tcPr>
                <w:tcW w:w="7479" w:type="dxa"/>
                <w:tcBorders>
                  <w:top w:val="single" w:sz="4" w:space="0" w:color="auto"/>
                  <w:bottom w:val="single" w:sz="4" w:space="0" w:color="auto"/>
                </w:tcBorders>
              </w:tcPr>
              <w:p w14:paraId="43BD2527" w14:textId="6D101D45" w:rsidR="002D6F91" w:rsidRPr="00F62C2F" w:rsidRDefault="002D6F91" w:rsidP="005C52DD">
                <w:pPr>
                  <w:spacing w:before="60"/>
                  <w:jc w:val="both"/>
                  <w:rPr>
                    <w:rFonts w:ascii="Times New Roman" w:hAnsi="Times New Roman"/>
                    <w:lang w:val="is-IS"/>
                  </w:rPr>
                </w:pPr>
                <w:r w:rsidRPr="00F62C2F">
                  <w:rPr>
                    <w:rFonts w:ascii="Times New Roman" w:hAnsi="Times New Roman"/>
                    <w:lang w:val="is-IS"/>
                  </w:rPr>
                  <w:t xml:space="preserve">Frumvarp til laga um </w:t>
                </w:r>
                <w:r w:rsidR="001C0A3D" w:rsidRPr="00F62C2F">
                  <w:rPr>
                    <w:rFonts w:ascii="Times New Roman" w:hAnsi="Times New Roman"/>
                    <w:lang w:val="is-IS"/>
                  </w:rPr>
                  <w:t>fjárhagslegar viðmiðanir</w:t>
                </w:r>
                <w:r w:rsidRPr="00F62C2F">
                  <w:rPr>
                    <w:rFonts w:ascii="Times New Roman" w:hAnsi="Times New Roman"/>
                    <w:lang w:val="is-IS"/>
                  </w:rPr>
                  <w:t xml:space="preserve"> / </w:t>
                </w:r>
                <w:r w:rsidR="001E5CAD" w:rsidRPr="001E5CAD">
                  <w:rPr>
                    <w:rFonts w:ascii="Times New Roman" w:hAnsi="Times New Roman"/>
                    <w:lang w:val="is-IS"/>
                  </w:rPr>
                  <w:t>FJR20080007</w:t>
                </w:r>
              </w:p>
            </w:tc>
          </w:sdtContent>
        </w:sdt>
      </w:tr>
      <w:tr w:rsidR="002D6F91" w:rsidRPr="00F62C2F" w14:paraId="635A5BDB"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62814A0" w14:textId="77777777" w:rsidR="002D6F91" w:rsidRPr="00F62C2F" w:rsidRDefault="002D6F91" w:rsidP="005C52DD">
            <w:pPr>
              <w:spacing w:before="60" w:after="60"/>
              <w:jc w:val="both"/>
              <w:rPr>
                <w:rFonts w:ascii="Times New Roman" w:hAnsi="Times New Roman"/>
                <w:b/>
                <w:lang w:val="is-IS"/>
              </w:rPr>
            </w:pPr>
            <w:r w:rsidRPr="00F62C2F">
              <w:rPr>
                <w:rFonts w:ascii="Times New Roman" w:hAnsi="Times New Roman"/>
                <w:b/>
                <w:lang w:val="is-IS"/>
              </w:rPr>
              <w:t xml:space="preserve">Ráðuneyti </w:t>
            </w:r>
          </w:p>
        </w:tc>
        <w:sdt>
          <w:sdtPr>
            <w:rPr>
              <w:rFonts w:ascii="Times New Roman" w:hAnsi="Times New Roman"/>
            </w:rPr>
            <w:id w:val="1126588465"/>
            <w:placeholder>
              <w:docPart w:val="3428B75E9CEB45B2A6CCFCF515956FDC"/>
            </w:placeholder>
          </w:sdtPr>
          <w:sdtEndPr/>
          <w:sdtContent>
            <w:tc>
              <w:tcPr>
                <w:tcW w:w="7479" w:type="dxa"/>
                <w:tcBorders>
                  <w:bottom w:val="nil"/>
                </w:tcBorders>
              </w:tcPr>
              <w:p w14:paraId="6AABFEC9" w14:textId="7A9187EA" w:rsidR="002D6F91" w:rsidRPr="00F62C2F" w:rsidRDefault="002D6F91" w:rsidP="005C52DD">
                <w:pPr>
                  <w:spacing w:before="60"/>
                  <w:jc w:val="both"/>
                  <w:rPr>
                    <w:rFonts w:ascii="Times New Roman" w:hAnsi="Times New Roman"/>
                    <w:lang w:val="is-IS"/>
                  </w:rPr>
                </w:pPr>
                <w:r w:rsidRPr="00F62C2F">
                  <w:rPr>
                    <w:rFonts w:ascii="Times New Roman" w:hAnsi="Times New Roman"/>
                    <w:lang w:val="is-IS"/>
                  </w:rPr>
                  <w:t>Fjármála- og efnahagsráðuneyti</w:t>
                </w:r>
              </w:p>
            </w:tc>
          </w:sdtContent>
        </w:sdt>
      </w:tr>
      <w:tr w:rsidR="002D6F91" w:rsidRPr="00F62C2F" w14:paraId="7AF1B81B" w14:textId="77777777" w:rsidTr="0021293B">
        <w:tblPrEx>
          <w:tblBorders>
            <w:insideH w:val="single" w:sz="4" w:space="0" w:color="auto"/>
            <w:insideV w:val="single" w:sz="4" w:space="0" w:color="auto"/>
          </w:tblBorders>
        </w:tblPrEx>
        <w:tc>
          <w:tcPr>
            <w:tcW w:w="1809" w:type="dxa"/>
            <w:tcBorders>
              <w:bottom w:val="single" w:sz="4" w:space="0" w:color="auto"/>
            </w:tcBorders>
          </w:tcPr>
          <w:p w14:paraId="1C82BD8C" w14:textId="77777777" w:rsidR="002D6F91" w:rsidRPr="00F62C2F" w:rsidRDefault="002D6F91" w:rsidP="005C52DD">
            <w:pPr>
              <w:spacing w:before="60" w:after="60"/>
              <w:jc w:val="both"/>
              <w:rPr>
                <w:rFonts w:ascii="Times New Roman" w:hAnsi="Times New Roman"/>
                <w:b/>
                <w:lang w:val="is-IS"/>
              </w:rPr>
            </w:pPr>
            <w:r w:rsidRPr="00F62C2F">
              <w:rPr>
                <w:rFonts w:ascii="Times New Roman" w:hAnsi="Times New Roman"/>
                <w:b/>
                <w:lang w:val="is-IS"/>
              </w:rPr>
              <w:t>Stig mats</w:t>
            </w:r>
          </w:p>
        </w:tc>
        <w:tc>
          <w:tcPr>
            <w:tcW w:w="7479" w:type="dxa"/>
            <w:tcBorders>
              <w:bottom w:val="nil"/>
            </w:tcBorders>
          </w:tcPr>
          <w:p w14:paraId="5EAE674B" w14:textId="144EB272" w:rsidR="002D6F91" w:rsidRPr="00F62C2F" w:rsidRDefault="001559FB" w:rsidP="005C52DD">
            <w:pPr>
              <w:spacing w:before="60"/>
              <w:jc w:val="both"/>
              <w:rPr>
                <w:rFonts w:ascii="Times New Roman" w:hAnsi="Times New Roman"/>
                <w:lang w:val="is-IS"/>
              </w:rPr>
            </w:pPr>
            <w:sdt>
              <w:sdtPr>
                <w:rPr>
                  <w:rFonts w:ascii="Times New Roman" w:hAnsi="Times New Roman"/>
                  <w:lang w:val="de-AT"/>
                </w:rPr>
                <w:id w:val="-2079593582"/>
                <w14:checkbox>
                  <w14:checked w14:val="0"/>
                  <w14:checkedState w14:val="2612" w14:font="MS Gothic"/>
                  <w14:uncheckedState w14:val="2610" w14:font="MS Gothic"/>
                </w14:checkbox>
              </w:sdtPr>
              <w:sdtEndPr/>
              <w:sdtContent>
                <w:r w:rsidR="001C6D63">
                  <w:rPr>
                    <w:rFonts w:ascii="MS Gothic" w:eastAsia="MS Gothic" w:hAnsi="MS Gothic" w:hint="eastAsia"/>
                    <w:lang w:val="de-AT"/>
                  </w:rPr>
                  <w:t>☐</w:t>
                </w:r>
              </w:sdtContent>
            </w:sdt>
            <w:r w:rsidR="002D6F91" w:rsidRPr="00F62C2F">
              <w:rPr>
                <w:rFonts w:ascii="Times New Roman" w:hAnsi="Times New Roman"/>
                <w:lang w:val="is-IS"/>
              </w:rPr>
              <w:t xml:space="preserve"> Frummat, sbr. 1. gr.</w:t>
            </w:r>
          </w:p>
          <w:p w14:paraId="63BD945E" w14:textId="3C0C4DAC" w:rsidR="002D6F91" w:rsidRPr="00F62C2F" w:rsidRDefault="001559FB" w:rsidP="005C52DD">
            <w:pPr>
              <w:spacing w:before="60"/>
              <w:jc w:val="both"/>
              <w:rPr>
                <w:rFonts w:ascii="Times New Roman" w:hAnsi="Times New Roman"/>
                <w:lang w:val="is-IS"/>
              </w:rPr>
            </w:pPr>
            <w:sdt>
              <w:sdtPr>
                <w:rPr>
                  <w:rFonts w:ascii="Times New Roman" w:hAnsi="Times New Roman"/>
                  <w:lang w:val="de-AT"/>
                </w:rPr>
                <w:id w:val="466950021"/>
                <w14:checkbox>
                  <w14:checked w14:val="1"/>
                  <w14:checkedState w14:val="2612" w14:font="MS Gothic"/>
                  <w14:uncheckedState w14:val="2610" w14:font="MS Gothic"/>
                </w14:checkbox>
              </w:sdtPr>
              <w:sdtEndPr/>
              <w:sdtContent>
                <w:r w:rsidR="001C6D63" w:rsidRPr="001C6D63">
                  <w:rPr>
                    <w:rFonts w:ascii="MS Gothic" w:eastAsia="MS Gothic" w:hAnsi="MS Gothic" w:hint="eastAsia"/>
                    <w:lang w:val="de-AT"/>
                  </w:rPr>
                  <w:t>☒</w:t>
                </w:r>
              </w:sdtContent>
            </w:sdt>
            <w:r w:rsidR="002D6F91" w:rsidRPr="00F62C2F">
              <w:rPr>
                <w:rFonts w:ascii="Times New Roman" w:hAnsi="Times New Roman"/>
                <w:lang w:val="is-IS"/>
              </w:rPr>
              <w:t xml:space="preserve"> Endanlegt mat, sbr. 10. gr. </w:t>
            </w:r>
          </w:p>
        </w:tc>
      </w:tr>
      <w:tr w:rsidR="002D6F91" w:rsidRPr="00F62C2F" w14:paraId="7C728290"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2630DB79" w14:textId="77777777" w:rsidR="002D6F91" w:rsidRPr="00F62C2F" w:rsidRDefault="002D6F91" w:rsidP="005C52DD">
            <w:pPr>
              <w:spacing w:before="60" w:after="60"/>
              <w:jc w:val="both"/>
              <w:rPr>
                <w:rFonts w:ascii="Times New Roman" w:hAnsi="Times New Roman"/>
                <w:b/>
                <w:lang w:val="is-IS"/>
              </w:rPr>
            </w:pPr>
            <w:r w:rsidRPr="00F62C2F">
              <w:rPr>
                <w:rFonts w:ascii="Times New Roman" w:hAnsi="Times New Roman"/>
                <w:b/>
                <w:lang w:val="is-IS"/>
              </w:rPr>
              <w:t>Dags.</w:t>
            </w:r>
          </w:p>
        </w:tc>
        <w:tc>
          <w:tcPr>
            <w:tcW w:w="7479" w:type="dxa"/>
            <w:tcBorders>
              <w:top w:val="single" w:sz="4" w:space="0" w:color="auto"/>
              <w:left w:val="single" w:sz="4" w:space="0" w:color="auto"/>
              <w:bottom w:val="single" w:sz="4" w:space="0" w:color="auto"/>
              <w:right w:val="single" w:sz="4" w:space="0" w:color="auto"/>
            </w:tcBorders>
          </w:tcPr>
          <w:p w14:paraId="3B606795" w14:textId="2447E9B2" w:rsidR="002D6F91" w:rsidRPr="00F62C2F" w:rsidRDefault="0020368B" w:rsidP="005C52DD">
            <w:pPr>
              <w:spacing w:before="60"/>
              <w:jc w:val="both"/>
              <w:rPr>
                <w:rFonts w:ascii="Times New Roman" w:hAnsi="Times New Roman"/>
                <w:lang w:val="is-IS"/>
              </w:rPr>
            </w:pPr>
            <w:r>
              <w:rPr>
                <w:rFonts w:ascii="Times New Roman" w:hAnsi="Times New Roman"/>
                <w:lang w:val="is-IS"/>
              </w:rPr>
              <w:t>19. ágúst</w:t>
            </w:r>
            <w:r w:rsidR="001E5CAD">
              <w:rPr>
                <w:rFonts w:ascii="Times New Roman" w:hAnsi="Times New Roman"/>
                <w:lang w:val="is-IS"/>
              </w:rPr>
              <w:t xml:space="preserve"> 2021</w:t>
            </w:r>
          </w:p>
        </w:tc>
      </w:tr>
    </w:tbl>
    <w:p w14:paraId="5007BA6F" w14:textId="77777777" w:rsidR="002A148C" w:rsidRPr="00F62C2F" w:rsidRDefault="002A148C" w:rsidP="005C52DD">
      <w:pPr>
        <w:spacing w:after="0" w:line="240" w:lineRule="auto"/>
        <w:jc w:val="both"/>
        <w:rPr>
          <w:sz w:val="20"/>
          <w:szCs w:val="20"/>
        </w:rPr>
      </w:pPr>
    </w:p>
    <w:tbl>
      <w:tblPr>
        <w:tblStyle w:val="TableGrid"/>
        <w:tblW w:w="9288" w:type="dxa"/>
        <w:tblLayout w:type="fixed"/>
        <w:tblLook w:val="04A0" w:firstRow="1" w:lastRow="0" w:firstColumn="1" w:lastColumn="0" w:noHBand="0" w:noVBand="1"/>
      </w:tblPr>
      <w:tblGrid>
        <w:gridCol w:w="9288"/>
      </w:tblGrid>
      <w:tr w:rsidR="002A148C" w:rsidRPr="00F62C2F" w14:paraId="26352BB0" w14:textId="77777777" w:rsidTr="007414CB">
        <w:tc>
          <w:tcPr>
            <w:tcW w:w="9288" w:type="dxa"/>
            <w:shd w:val="clear" w:color="auto" w:fill="9CC2E5" w:themeFill="accent5" w:themeFillTint="99"/>
          </w:tcPr>
          <w:p w14:paraId="5388125C" w14:textId="77777777" w:rsidR="002A148C" w:rsidRPr="00F62C2F" w:rsidRDefault="002A148C" w:rsidP="005C52D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F62C2F">
              <w:rPr>
                <w:rFonts w:ascii="Times New Roman" w:hAnsi="Times New Roman" w:cs="Times New Roman"/>
                <w:b/>
                <w:lang w:val="is-IS"/>
              </w:rPr>
              <w:t>Greining og mat á fjárhagslegum áhrifaþáttum fyrir ríkið</w:t>
            </w:r>
          </w:p>
        </w:tc>
      </w:tr>
      <w:tr w:rsidR="002A148C" w:rsidRPr="00F62C2F" w14:paraId="12A80A88"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sdt>
                <w:sdtPr>
                  <w:rPr>
                    <w:rFonts w:ascii="Times New Roman" w:hAnsi="Times New Roman" w:cs="Times New Roman"/>
                    <w:b/>
                    <w:lang w:val="is-IS"/>
                  </w:rPr>
                  <w:id w:val="933713501"/>
                </w:sdtPr>
                <w:sdtEndPr>
                  <w:rPr>
                    <w:rFonts w:asciiTheme="minorHAnsi" w:hAnsiTheme="minorHAnsi" w:cstheme="minorBidi"/>
                    <w:b w:val="0"/>
                  </w:rPr>
                </w:sdtEndPr>
                <w:sdtContent>
                  <w:p w14:paraId="3E5BCE83" w14:textId="77777777" w:rsidR="001C32C4" w:rsidRPr="004B6CC6" w:rsidRDefault="001C32C4" w:rsidP="001C32C4">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Áætluð fjárhagsáhrif fyrir ríkið vegna helstu breytinga og ráðstafana sem felast í fyrirhugaðri lagasetningu, þar sem tilgreindir eru sérstaklega áhrifaþættir á fjárhag ríkissjóðs</w:t>
                    </w:r>
                  </w:p>
                  <w:p w14:paraId="630E3ED8" w14:textId="77777777" w:rsidR="001C32C4" w:rsidRPr="004B6CC6" w:rsidRDefault="001C32C4" w:rsidP="001C32C4">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Hvaða fjárhagsgreining, rekstraráætlanir, reiknilíkön eða önnur áætlanagerð hefur farið fram við undirbúning fjárhagsmatsins?</w:t>
                    </w:r>
                  </w:p>
                  <w:p w14:paraId="348DDAB5" w14:textId="3F258661"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lang w:val="is-IS"/>
                      </w:rPr>
                    </w:pPr>
                    <w:r w:rsidRPr="004B6CC6">
                      <w:rPr>
                        <w:rFonts w:ascii="Times New Roman" w:hAnsi="Times New Roman" w:cs="Times New Roman"/>
                        <w:lang w:val="is-IS"/>
                      </w:rPr>
                      <w:t xml:space="preserve">Óskað var eftir mati Fjármálaeftirlitsins á </w:t>
                    </w:r>
                    <w:r w:rsidR="009748B8">
                      <w:rPr>
                        <w:rFonts w:ascii="Times New Roman" w:hAnsi="Times New Roman" w:cs="Times New Roman"/>
                        <w:lang w:val="is-IS"/>
                      </w:rPr>
                      <w:t>því hvort lögfesting reglugerðar (ESB) 2021/168</w:t>
                    </w:r>
                    <w:r w:rsidR="00986153">
                      <w:rPr>
                        <w:rFonts w:ascii="Times New Roman" w:hAnsi="Times New Roman" w:cs="Times New Roman"/>
                        <w:lang w:val="is-IS"/>
                      </w:rPr>
                      <w:t xml:space="preserve"> </w:t>
                    </w:r>
                    <w:r w:rsidR="009748B8">
                      <w:rPr>
                        <w:rFonts w:ascii="Times New Roman" w:hAnsi="Times New Roman" w:cs="Times New Roman"/>
                        <w:lang w:val="is-IS"/>
                      </w:rPr>
                      <w:t>hefði áhrif</w:t>
                    </w:r>
                    <w:r w:rsidRPr="004B6CC6">
                      <w:rPr>
                        <w:rFonts w:ascii="Times New Roman" w:hAnsi="Times New Roman" w:cs="Times New Roman"/>
                        <w:lang w:val="is-IS"/>
                      </w:rPr>
                      <w:t xml:space="preserve"> á kostnað </w:t>
                    </w:r>
                    <w:r w:rsidR="009748B8">
                      <w:rPr>
                        <w:rFonts w:ascii="Times New Roman" w:hAnsi="Times New Roman" w:cs="Times New Roman"/>
                        <w:lang w:val="is-IS"/>
                      </w:rPr>
                      <w:t xml:space="preserve">við starfsemi </w:t>
                    </w:r>
                    <w:r w:rsidR="0041326D">
                      <w:rPr>
                        <w:rFonts w:ascii="Times New Roman" w:hAnsi="Times New Roman" w:cs="Times New Roman"/>
                        <w:lang w:val="is-IS"/>
                      </w:rPr>
                      <w:t>þess</w:t>
                    </w:r>
                    <w:r w:rsidRPr="004B6CC6">
                      <w:rPr>
                        <w:rFonts w:ascii="Times New Roman" w:hAnsi="Times New Roman" w:cs="Times New Roman"/>
                        <w:lang w:val="is-IS"/>
                      </w:rPr>
                      <w:t>.</w:t>
                    </w:r>
                  </w:p>
                  <w:p w14:paraId="410C1D5B" w14:textId="77777777" w:rsidR="001C32C4" w:rsidRPr="004B6CC6" w:rsidRDefault="001C32C4" w:rsidP="001C32C4">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Helstu forsendur sem áætlanir byggja á og næmni niðurstaðna fyrir frávikum</w:t>
                    </w:r>
                  </w:p>
                  <w:p w14:paraId="08CF1077" w14:textId="262EFD05"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 xml:space="preserve">Mat Fjármálaeftirlitsins byggist á áætlun um þau verkefni sem fylgi </w:t>
                    </w:r>
                    <w:r w:rsidR="000956D0">
                      <w:rPr>
                        <w:rFonts w:ascii="Times New Roman" w:hAnsi="Times New Roman" w:cs="Times New Roman"/>
                        <w:lang w:val="is-IS"/>
                      </w:rPr>
                      <w:t>lögfestingu reglugerðar</w:t>
                    </w:r>
                    <w:r w:rsidR="009748B8">
                      <w:rPr>
                        <w:rFonts w:ascii="Times New Roman" w:hAnsi="Times New Roman" w:cs="Times New Roman"/>
                        <w:lang w:val="is-IS"/>
                      </w:rPr>
                      <w:t>innar</w:t>
                    </w:r>
                    <w:r w:rsidRPr="004B6CC6">
                      <w:rPr>
                        <w:rFonts w:ascii="Times New Roman" w:hAnsi="Times New Roman" w:cs="Times New Roman"/>
                        <w:lang w:val="is-IS"/>
                      </w:rPr>
                      <w:t>. Ekki er talin ástæða til að vænta verulegra frávika frá því mati.</w:t>
                    </w:r>
                  </w:p>
                  <w:p w14:paraId="0AB767FF" w14:textId="77777777" w:rsidR="001C32C4" w:rsidRPr="004B6CC6" w:rsidRDefault="001C32C4" w:rsidP="001C32C4">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Eru fjárhagsáhrif tímabundin eða varanleg?</w:t>
                    </w:r>
                  </w:p>
                  <w:p w14:paraId="391D4F0B"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346E35AF" w14:textId="77777777" w:rsidR="001C32C4" w:rsidRPr="004B6CC6" w:rsidRDefault="001C32C4" w:rsidP="001C32C4">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Skorður sem eru settar fyrir útgjöldum og hvatar sem geta haft áhrif á útgjaldaþróun</w:t>
                    </w:r>
                  </w:p>
                  <w:p w14:paraId="030E4881"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eastAsia="Times New Roman" w:hAnsi="Times New Roman" w:cs="Times New Roman"/>
                        <w:color w:val="242424"/>
                        <w:lang w:val="is-IS" w:eastAsia="is-IS"/>
                      </w:rPr>
                      <w:t xml:space="preserve">Um kostnað við rekstur Fjármálaeftirlitsins fer samkvæmt </w:t>
                    </w:r>
                    <w:hyperlink r:id="rId9" w:history="1">
                      <w:r w:rsidRPr="004B6CC6">
                        <w:rPr>
                          <w:rStyle w:val="Hyperlink"/>
                          <w:rFonts w:ascii="Times New Roman" w:eastAsia="Times New Roman" w:hAnsi="Times New Roman" w:cs="Times New Roman"/>
                          <w:lang w:val="is-IS" w:eastAsia="is-IS"/>
                        </w:rPr>
                        <w:t>lögum um greiðslu kostnaðar við opinbert eftirlit með fjármálastarfsemi, nr. 99/1999</w:t>
                      </w:r>
                    </w:hyperlink>
                    <w:r w:rsidRPr="004B6CC6">
                      <w:rPr>
                        <w:rFonts w:ascii="Times New Roman" w:eastAsia="Times New Roman" w:hAnsi="Times New Roman" w:cs="Times New Roman"/>
                        <w:color w:val="242424"/>
                        <w:lang w:val="is-IS" w:eastAsia="is-IS"/>
                      </w:rPr>
                      <w:t>.</w:t>
                    </w:r>
                  </w:p>
                  <w:p w14:paraId="56002CBE" w14:textId="77777777" w:rsidR="001C32C4" w:rsidRPr="004B6CC6" w:rsidRDefault="001C32C4" w:rsidP="001C32C4">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Aðskilin umfjöllun um brúttóáhrif á tekjuhlið og gjaldahlið en einnig tilgreind nettóáhrif á afkomu</w:t>
                    </w:r>
                  </w:p>
                  <w:p w14:paraId="5FC1517C"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Ekki er gert ráð fyrir áhrifum á tekjur, útgjöld eða afkomu ríkissjóðs.</w:t>
                    </w:r>
                  </w:p>
                  <w:p w14:paraId="165FF870" w14:textId="77777777" w:rsidR="001C32C4" w:rsidRPr="004B6CC6" w:rsidRDefault="001C32C4" w:rsidP="001C32C4">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Tekjubreytingar</w:t>
                    </w:r>
                  </w:p>
                  <w:p w14:paraId="7ACA93DC" w14:textId="77777777" w:rsidR="001C32C4" w:rsidRPr="004B6CC6" w:rsidRDefault="001C32C4" w:rsidP="001C32C4">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Ekki er gert ráð fyrir áhrifum á tekjur ríkissjóðs.</w:t>
                    </w:r>
                  </w:p>
                  <w:p w14:paraId="48976172" w14:textId="77777777" w:rsidR="001C32C4" w:rsidRPr="004B6CC6" w:rsidRDefault="001C32C4" w:rsidP="001C32C4">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Útgjaldabreytingar </w:t>
                    </w:r>
                  </w:p>
                  <w:p w14:paraId="72823C6F" w14:textId="43229BDB" w:rsidR="001C32C4" w:rsidRPr="004B6CC6" w:rsidRDefault="001C32C4" w:rsidP="001C32C4">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Fjármálaeftirlitið telur</w:t>
                    </w:r>
                    <w:r w:rsidR="00EB3B9F">
                      <w:rPr>
                        <w:rFonts w:ascii="Times New Roman" w:hAnsi="Times New Roman" w:cs="Times New Roman"/>
                        <w:lang w:val="is-IS"/>
                      </w:rPr>
                      <w:t xml:space="preserve"> lögfestingu reglugerðar (ESB) 2021/168</w:t>
                    </w:r>
                    <w:r w:rsidRPr="004B6CC6">
                      <w:rPr>
                        <w:rFonts w:ascii="Times New Roman" w:hAnsi="Times New Roman" w:cs="Times New Roman"/>
                        <w:lang w:val="is-IS"/>
                      </w:rPr>
                      <w:t xml:space="preserve"> ekki kalla á </w:t>
                    </w:r>
                    <w:r>
                      <w:rPr>
                        <w:rFonts w:ascii="Times New Roman" w:hAnsi="Times New Roman" w:cs="Times New Roman"/>
                        <w:lang w:val="is-IS"/>
                      </w:rPr>
                      <w:t>aukin verkefni eða kostnað</w:t>
                    </w:r>
                    <w:r w:rsidRPr="004B6CC6">
                      <w:rPr>
                        <w:rFonts w:ascii="Times New Roman" w:hAnsi="Times New Roman" w:cs="Times New Roman"/>
                        <w:lang w:val="is-IS"/>
                      </w:rPr>
                      <w:t xml:space="preserve">. </w:t>
                    </w:r>
                  </w:p>
                  <w:p w14:paraId="09556F5B" w14:textId="77777777" w:rsidR="001C32C4" w:rsidRPr="004B6CC6" w:rsidRDefault="001C32C4" w:rsidP="001C32C4">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Eignabreytingar</w:t>
                    </w:r>
                  </w:p>
                  <w:p w14:paraId="2D9DA172" w14:textId="77777777" w:rsidR="001C32C4" w:rsidRPr="004B6CC6" w:rsidRDefault="001C32C4" w:rsidP="001C32C4">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Ekki er gert ráð fyrir áhrifum á eignir ríkissjóðs.</w:t>
                    </w:r>
                  </w:p>
                  <w:p w14:paraId="13474C69" w14:textId="77777777" w:rsidR="001C32C4" w:rsidRPr="004B6CC6" w:rsidRDefault="001C32C4" w:rsidP="001C32C4">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Aðrir áhrifaþættir varðandi ríkisfjármál</w:t>
                    </w:r>
                  </w:p>
                  <w:p w14:paraId="314B2240"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Samræmi við viðmið og sjónarmið um fyrirkomulag á útgjaldastýringu og umbúnað í fjárlögum</w:t>
                    </w:r>
                  </w:p>
                  <w:p w14:paraId="2A6DBD61"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4F06FAB1"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Samræmi við viðmið um framsetningu fjárlaga og reikningshaldslegan grundvöll samkvæmt lögum um opinber fjármál</w:t>
                    </w:r>
                  </w:p>
                  <w:p w14:paraId="59CC4AF1"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0D63D5F2"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Uppbygging skattkerfis og tekjuöflunar ríkissjóðs</w:t>
                    </w:r>
                  </w:p>
                  <w:p w14:paraId="4A1368F3"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lastRenderedPageBreak/>
                      <w:t>Á ekki við.</w:t>
                    </w:r>
                  </w:p>
                  <w:p w14:paraId="65AE096B"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Forsendur og umbúnaður þjónustugjalda – lagakröfur</w:t>
                    </w:r>
                  </w:p>
                  <w:p w14:paraId="60AC3139"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48E9525D"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Rekstrarform ríkisstarfsemi</w:t>
                    </w:r>
                  </w:p>
                  <w:p w14:paraId="3A09A0E3"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1E6DFBE9"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Opinber innkaup og útboð</w:t>
                    </w:r>
                  </w:p>
                  <w:p w14:paraId="7C65CC25"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6855919D"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Eignaumsýsla ríkisins</w:t>
                    </w:r>
                  </w:p>
                  <w:p w14:paraId="35C01CB6"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261A4271"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Réttindi og skyldur ríkisstarfsmanna</w:t>
                    </w:r>
                  </w:p>
                  <w:p w14:paraId="5873B819"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6A6A891F" w14:textId="77777777" w:rsidR="001C32C4" w:rsidRPr="004B6CC6" w:rsidRDefault="001C32C4" w:rsidP="001C32C4">
                    <w:pPr>
                      <w:pStyle w:val="ListParagraph"/>
                      <w:numPr>
                        <w:ilvl w:val="0"/>
                        <w:numId w:val="8"/>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i/>
                        <w:lang w:val="is-IS"/>
                      </w:rPr>
                      <w:t>Ríkisstyrkir og ívilnanir, þ.m.t. samræmi við reglur ESA, sbr. 61. gr. EES-samningsins. Ath. tilkynningarskyldu með tveggja mánaða fyrirvara.</w:t>
                    </w:r>
                  </w:p>
                  <w:p w14:paraId="31D6A5EC" w14:textId="2E8CC13D" w:rsidR="002A148C" w:rsidRPr="001C32C4" w:rsidRDefault="001C32C4" w:rsidP="001C32C4">
                    <w:pPr>
                      <w:pStyle w:val="ListParagraph"/>
                      <w:spacing w:before="60" w:after="60" w:line="240" w:lineRule="auto"/>
                      <w:ind w:left="1080"/>
                      <w:contextualSpacing w:val="0"/>
                      <w:jc w:val="both"/>
                      <w:rPr>
                        <w:lang w:val="is-IS"/>
                      </w:rPr>
                    </w:pPr>
                    <w:r w:rsidRPr="004B6CC6">
                      <w:rPr>
                        <w:rFonts w:ascii="Times New Roman" w:hAnsi="Times New Roman" w:cs="Times New Roman"/>
                        <w:lang w:val="is-IS"/>
                      </w:rPr>
                      <w:t>Á ekki við.</w:t>
                    </w:r>
                  </w:p>
                </w:sdtContent>
              </w:sdt>
            </w:sdtContent>
          </w:sdt>
        </w:tc>
      </w:tr>
      <w:tr w:rsidR="002A148C" w:rsidRPr="00F62C2F" w14:paraId="0A321124" w14:textId="77777777" w:rsidTr="007414CB">
        <w:tc>
          <w:tcPr>
            <w:tcW w:w="9288" w:type="dxa"/>
            <w:shd w:val="clear" w:color="auto" w:fill="9CC2E5" w:themeFill="accent5" w:themeFillTint="99"/>
          </w:tcPr>
          <w:p w14:paraId="53A8B4EF" w14:textId="77777777" w:rsidR="002A148C" w:rsidRPr="00F62C2F" w:rsidRDefault="002A148C" w:rsidP="005C52D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F62C2F">
              <w:rPr>
                <w:rFonts w:ascii="Times New Roman" w:hAnsi="Times New Roman" w:cs="Times New Roman"/>
                <w:b/>
                <w:lang w:val="is-IS"/>
              </w:rPr>
              <w:lastRenderedPageBreak/>
              <w:t xml:space="preserve">Samræmi við útgjaldaramma og fimm ára fjármálaætlun – fjármögnun </w:t>
            </w:r>
          </w:p>
        </w:tc>
      </w:tr>
      <w:tr w:rsidR="001C32C4" w:rsidRPr="00F62C2F" w14:paraId="7B67C95E" w14:textId="77777777" w:rsidTr="00FD2097">
        <w:trPr>
          <w:trHeight w:val="826"/>
        </w:trPr>
        <w:tc>
          <w:tcPr>
            <w:tcW w:w="9288" w:type="dxa"/>
          </w:tcPr>
          <w:sdt>
            <w:sdtPr>
              <w:rPr>
                <w:rFonts w:ascii="Times New Roman" w:hAnsi="Times New Roman" w:cs="Times New Roman"/>
                <w:b/>
                <w:lang w:val="is-IS"/>
              </w:rPr>
              <w:id w:val="-197159978"/>
            </w:sdtPr>
            <w:sdtEndPr>
              <w:rPr>
                <w:rFonts w:asciiTheme="minorHAnsi" w:hAnsiTheme="minorHAnsi" w:cstheme="minorBidi"/>
              </w:rPr>
            </w:sdtEndPr>
            <w:sdtContent>
              <w:p w14:paraId="0DC1A4D2" w14:textId="77777777" w:rsidR="001C32C4" w:rsidRPr="004B6CC6" w:rsidRDefault="001C32C4" w:rsidP="001C32C4">
                <w:pPr>
                  <w:pStyle w:val="ListParagraph"/>
                  <w:numPr>
                    <w:ilvl w:val="0"/>
                    <w:numId w:val="4"/>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Hefur verið gert ráð fyrir þeim fjárhagsáhrifum á málaflokk sem leiða kunna af samþykkt frumvarpsins:</w:t>
                </w:r>
              </w:p>
              <w:p w14:paraId="58DCB892" w14:textId="77777777" w:rsidR="001C32C4" w:rsidRPr="004B6CC6" w:rsidRDefault="001C32C4" w:rsidP="001C32C4">
                <w:pPr>
                  <w:pStyle w:val="ListParagraph"/>
                  <w:numPr>
                    <w:ilvl w:val="0"/>
                    <w:numId w:val="9"/>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í gildandi fjárlögum</w:t>
                </w:r>
              </w:p>
              <w:p w14:paraId="26A1A04B"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218F1C43" w14:textId="77777777" w:rsidR="001C32C4" w:rsidRPr="004B6CC6" w:rsidRDefault="001C32C4" w:rsidP="001C32C4">
                <w:pPr>
                  <w:pStyle w:val="ListParagraph"/>
                  <w:numPr>
                    <w:ilvl w:val="0"/>
                    <w:numId w:val="9"/>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í fjárlagafrumvarpi komandi árs</w:t>
                </w:r>
              </w:p>
              <w:p w14:paraId="0A3C06F7"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3BE3F64A" w14:textId="77777777" w:rsidR="001C32C4" w:rsidRPr="004B6CC6" w:rsidRDefault="001C32C4" w:rsidP="001C32C4">
                <w:pPr>
                  <w:pStyle w:val="ListParagraph"/>
                  <w:numPr>
                    <w:ilvl w:val="0"/>
                    <w:numId w:val="9"/>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í fimm ára fjármálaáætlun ríkisstjórnarinnar</w:t>
                </w:r>
              </w:p>
              <w:p w14:paraId="336C5671" w14:textId="77777777" w:rsidR="001C32C4" w:rsidRPr="004B6CC6" w:rsidRDefault="001C32C4" w:rsidP="001C32C4">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5E3CF38F" w14:textId="77777777" w:rsidR="001C32C4" w:rsidRPr="004B6CC6" w:rsidRDefault="001C32C4" w:rsidP="001C32C4">
                <w:pPr>
                  <w:pStyle w:val="ListParagraph"/>
                  <w:numPr>
                    <w:ilvl w:val="0"/>
                    <w:numId w:val="4"/>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63588BDD" w14:textId="77777777" w:rsidR="001C32C4" w:rsidRPr="004B6CC6" w:rsidRDefault="001C32C4" w:rsidP="001C32C4">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Á ekki við.</w:t>
                </w:r>
              </w:p>
              <w:p w14:paraId="56FA9219" w14:textId="77777777" w:rsidR="001C32C4" w:rsidRPr="004B6CC6" w:rsidRDefault="001C32C4" w:rsidP="001C32C4">
                <w:pPr>
                  <w:pStyle w:val="ListParagraph"/>
                  <w:numPr>
                    <w:ilvl w:val="0"/>
                    <w:numId w:val="4"/>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Tengist einhver ný eða aukin tekjuöflun verkefninu?</w:t>
                </w:r>
              </w:p>
              <w:p w14:paraId="66F90CAA" w14:textId="65C3A9BD" w:rsidR="001C32C4" w:rsidRPr="00F62C2F" w:rsidRDefault="001C32C4" w:rsidP="001C32C4">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Nei.</w:t>
                </w:r>
              </w:p>
            </w:sdtContent>
          </w:sdt>
        </w:tc>
      </w:tr>
      <w:tr w:rsidR="002A148C" w:rsidRPr="00F62C2F" w14:paraId="75A6AB8A" w14:textId="77777777" w:rsidTr="007414CB">
        <w:tc>
          <w:tcPr>
            <w:tcW w:w="9288" w:type="dxa"/>
            <w:shd w:val="clear" w:color="auto" w:fill="9CC2E5" w:themeFill="accent5" w:themeFillTint="99"/>
          </w:tcPr>
          <w:p w14:paraId="57A525C4" w14:textId="77777777" w:rsidR="002A148C" w:rsidRPr="00F62C2F" w:rsidRDefault="002A148C" w:rsidP="005C52D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F62C2F">
              <w:rPr>
                <w:rFonts w:ascii="Times New Roman" w:hAnsi="Times New Roman" w:cs="Times New Roman"/>
                <w:b/>
                <w:lang w:val="is-IS"/>
              </w:rPr>
              <w:t>Efnahagsáhrif – áhrif á atvinnulíf, vinnumarkað og samkeppni</w:t>
            </w:r>
          </w:p>
        </w:tc>
      </w:tr>
      <w:tr w:rsidR="002A148C" w:rsidRPr="00F62C2F" w14:paraId="6917691D" w14:textId="77777777" w:rsidTr="00FD2097">
        <w:trPr>
          <w:trHeight w:val="826"/>
        </w:trPr>
        <w:tc>
          <w:tcPr>
            <w:tcW w:w="9288" w:type="dxa"/>
          </w:tcPr>
          <w:sdt>
            <w:sdtPr>
              <w:rPr>
                <w:rFonts w:ascii="Times New Roman" w:hAnsi="Times New Roman" w:cs="Times New Roman"/>
                <w:b/>
                <w:lang w:val="is-IS"/>
              </w:rPr>
              <w:id w:val="-355357149"/>
            </w:sdtPr>
            <w:sdtEndPr>
              <w:rPr>
                <w:rFonts w:asciiTheme="minorHAnsi" w:hAnsiTheme="minorHAnsi" w:cstheme="minorBidi"/>
                <w:b w:val="0"/>
              </w:rPr>
            </w:sdtEndPr>
            <w:sdtContent>
              <w:p w14:paraId="160FB716" w14:textId="60E6030A" w:rsidR="002A148C" w:rsidRPr="00F62C2F" w:rsidRDefault="002A148C" w:rsidP="005C52DD">
                <w:pPr>
                  <w:pStyle w:val="ListParagraph"/>
                  <w:numPr>
                    <w:ilvl w:val="0"/>
                    <w:numId w:val="2"/>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Hagræn áhrif á heildareftirspurn og einstaka markaði – hagstjórnarsjónarmið </w:t>
                </w:r>
              </w:p>
              <w:p w14:paraId="73DED719" w14:textId="7B5A219A" w:rsidR="00117B87" w:rsidRDefault="00D20386" w:rsidP="00007F1A">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lang w:val="is-IS"/>
                  </w:rPr>
                  <w:t xml:space="preserve">Reglugerð </w:t>
                </w:r>
                <w:r w:rsidRPr="00D20386">
                  <w:rPr>
                    <w:rFonts w:ascii="Times New Roman" w:hAnsi="Times New Roman" w:cs="Times New Roman"/>
                    <w:lang w:val="is-IS"/>
                  </w:rPr>
                  <w:t>(ESB) 2021/168</w:t>
                </w:r>
                <w:r>
                  <w:rPr>
                    <w:rFonts w:ascii="Times New Roman" w:hAnsi="Times New Roman" w:cs="Times New Roman"/>
                    <w:lang w:val="is-IS"/>
                  </w:rPr>
                  <w:t xml:space="preserve"> miðar annars vegar að því að </w:t>
                </w:r>
                <w:r w:rsidRPr="00D20386">
                  <w:rPr>
                    <w:rFonts w:ascii="Times New Roman" w:hAnsi="Times New Roman" w:cs="Times New Roman"/>
                    <w:lang w:val="is-IS"/>
                  </w:rPr>
                  <w:t>undanþiggja viðmiðanir fyrir stundargengi gjaldmiðla</w:t>
                </w:r>
                <w:r w:rsidR="00F57FE8">
                  <w:rPr>
                    <w:rFonts w:ascii="Times New Roman" w:hAnsi="Times New Roman" w:cs="Times New Roman"/>
                    <w:lang w:val="is-IS"/>
                  </w:rPr>
                  <w:t xml:space="preserve"> á lista</w:t>
                </w:r>
                <w:r w:rsidRPr="00D20386">
                  <w:rPr>
                    <w:rFonts w:ascii="Times New Roman" w:hAnsi="Times New Roman" w:cs="Times New Roman"/>
                    <w:lang w:val="is-IS"/>
                  </w:rPr>
                  <w:t xml:space="preserve"> sem framkvæmdastjórn Evrópusambandsins </w:t>
                </w:r>
                <w:r w:rsidR="00F57FE8">
                  <w:rPr>
                    <w:rFonts w:ascii="Times New Roman" w:hAnsi="Times New Roman" w:cs="Times New Roman"/>
                    <w:lang w:val="is-IS"/>
                  </w:rPr>
                  <w:t>tekur saman</w:t>
                </w:r>
                <w:r w:rsidRPr="00D20386">
                  <w:rPr>
                    <w:rFonts w:ascii="Times New Roman" w:hAnsi="Times New Roman" w:cs="Times New Roman"/>
                    <w:lang w:val="is-IS"/>
                  </w:rPr>
                  <w:t xml:space="preserve"> gildissviði reglugerðar (ESB) 2016/1011</w:t>
                </w:r>
                <w:r>
                  <w:rPr>
                    <w:rFonts w:ascii="Times New Roman" w:hAnsi="Times New Roman" w:cs="Times New Roman"/>
                    <w:lang w:val="is-IS"/>
                  </w:rPr>
                  <w:t>.</w:t>
                </w:r>
                <w:r w:rsidR="00117B87">
                  <w:rPr>
                    <w:rFonts w:ascii="Times New Roman" w:hAnsi="Times New Roman" w:cs="Times New Roman"/>
                    <w:lang w:val="is-IS"/>
                  </w:rPr>
                  <w:t xml:space="preserve"> Breytingunni er ætlað að gera fjármálafyrirtækjum og öðrum aðilum undir eftirliti á Evrópska efnahagssvæðinu kleift að notast áfram við viðmiðanir fyrir stundargengi gjaldmiðla þriðju ríkja þótt umsjónaraðilar þeirra geti ekki hlotið viðurkenningu framkvæmdastjórnar Evrópusambandsins eða lögbærra yfirvalda á Evrópska efnahagssvæðinu því þeir falla ekki undir hliðstætt regluverk og gildir á Evrópska efnahagssvæðinu.</w:t>
                </w:r>
                <w:r w:rsidR="008B1A66">
                  <w:rPr>
                    <w:rFonts w:ascii="Times New Roman" w:hAnsi="Times New Roman" w:cs="Times New Roman"/>
                    <w:lang w:val="is-IS"/>
                  </w:rPr>
                  <w:t xml:space="preserve"> Það auðveldar </w:t>
                </w:r>
                <w:r w:rsidR="00D85A32">
                  <w:rPr>
                    <w:rFonts w:ascii="Times New Roman" w:hAnsi="Times New Roman" w:cs="Times New Roman"/>
                    <w:lang w:val="is-IS"/>
                  </w:rPr>
                  <w:t>fjármálafyrirtækjum</w:t>
                </w:r>
                <w:r w:rsidR="008B1A66">
                  <w:rPr>
                    <w:rFonts w:ascii="Times New Roman" w:hAnsi="Times New Roman" w:cs="Times New Roman"/>
                    <w:lang w:val="is-IS"/>
                  </w:rPr>
                  <w:t xml:space="preserve"> að veita út- og innflytjendum og öðrum fyrirtækjum fjármálaafurðir til að verjast sveiflum í gengi gjaldmiðla þriðju ríkja.</w:t>
                </w:r>
                <w:r w:rsidR="00117B87">
                  <w:rPr>
                    <w:rFonts w:ascii="Times New Roman" w:hAnsi="Times New Roman" w:cs="Times New Roman"/>
                    <w:lang w:val="is-IS"/>
                  </w:rPr>
                  <w:t xml:space="preserve"> </w:t>
                </w:r>
              </w:p>
              <w:p w14:paraId="649133F1" w14:textId="2F93F30C" w:rsidR="00D20386" w:rsidRPr="00D8159E" w:rsidRDefault="00D20386" w:rsidP="00D8159E">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lang w:val="is-IS"/>
                  </w:rPr>
                  <w:t>Reglugerðin miðar hins vegar að því að</w:t>
                </w:r>
                <w:r w:rsidRPr="00D20386">
                  <w:rPr>
                    <w:rFonts w:ascii="Times New Roman" w:hAnsi="Times New Roman" w:cs="Times New Roman"/>
                    <w:lang w:val="is-IS"/>
                  </w:rPr>
                  <w:t xml:space="preserve"> heimila framkvæmdastjórninni eða lögbærum yfirvöldum í aðildarríkjum að ákvarða viðmiðanir sem skuli notast við ef hætt er að gera viðmiðanir sem samningar eða aðrir fjárhagslegir gerningar vísa í eða þær verða ónothæfar og aðilar að gerningunum hafa ekki komið sér saman um aðrar viðmiðanir.</w:t>
                </w:r>
                <w:r w:rsidR="00D4404C">
                  <w:rPr>
                    <w:rFonts w:ascii="Times New Roman" w:hAnsi="Times New Roman" w:cs="Times New Roman"/>
                    <w:lang w:val="is-IS"/>
                  </w:rPr>
                  <w:t xml:space="preserve"> Tillagan tekur m.a. mið af því að fjármálaeftirlit Bretlands hefur tilkynnt að eftir 2021 verði líklega hætt að birta Libor-vexti, sem eiga að endurspegla millibankavexti í London. Fjöldi lána og annarra fjárhagslegra samninga í Evrópu vísar til Libor-vaxta og talið er líklegt að samningsaðilar muni í mörgum </w:t>
                </w:r>
                <w:r w:rsidR="00D4404C">
                  <w:rPr>
                    <w:rFonts w:ascii="Times New Roman" w:hAnsi="Times New Roman" w:cs="Times New Roman"/>
                    <w:lang w:val="is-IS"/>
                  </w:rPr>
                  <w:lastRenderedPageBreak/>
                  <w:t xml:space="preserve">tilvikum ekki hafa komið sér saman um </w:t>
                </w:r>
                <w:r w:rsidR="00576A60">
                  <w:rPr>
                    <w:rFonts w:ascii="Times New Roman" w:hAnsi="Times New Roman" w:cs="Times New Roman"/>
                    <w:lang w:val="is-IS"/>
                  </w:rPr>
                  <w:t>aðra</w:t>
                </w:r>
                <w:r w:rsidR="00D4404C">
                  <w:rPr>
                    <w:rFonts w:ascii="Times New Roman" w:hAnsi="Times New Roman" w:cs="Times New Roman"/>
                    <w:lang w:val="is-IS"/>
                  </w:rPr>
                  <w:t xml:space="preserve"> viðmið</w:t>
                </w:r>
                <w:r w:rsidR="00576A60">
                  <w:rPr>
                    <w:rFonts w:ascii="Times New Roman" w:hAnsi="Times New Roman" w:cs="Times New Roman"/>
                    <w:lang w:val="is-IS"/>
                  </w:rPr>
                  <w:t>un</w:t>
                </w:r>
                <w:r w:rsidR="00D4404C">
                  <w:rPr>
                    <w:rFonts w:ascii="Times New Roman" w:hAnsi="Times New Roman" w:cs="Times New Roman"/>
                    <w:lang w:val="is-IS"/>
                  </w:rPr>
                  <w:t xml:space="preserve"> </w:t>
                </w:r>
                <w:r w:rsidR="001559FB">
                  <w:rPr>
                    <w:rFonts w:ascii="Times New Roman" w:hAnsi="Times New Roman" w:cs="Times New Roman"/>
                    <w:lang w:val="is-IS"/>
                  </w:rPr>
                  <w:t>áður en hætt verður að birta Libor-vexti</w:t>
                </w:r>
                <w:r w:rsidR="00D4404C">
                  <w:rPr>
                    <w:rFonts w:ascii="Times New Roman" w:hAnsi="Times New Roman" w:cs="Times New Roman"/>
                    <w:lang w:val="is-IS"/>
                  </w:rPr>
                  <w:t>.</w:t>
                </w:r>
                <w:r w:rsidR="0091402E">
                  <w:rPr>
                    <w:rFonts w:ascii="Times New Roman" w:hAnsi="Times New Roman" w:cs="Times New Roman"/>
                    <w:lang w:val="is-IS"/>
                  </w:rPr>
                  <w:t xml:space="preserve"> Það að fyrir liggi viðmiðanir sem megi notast við þeirra í stað ætti að draga úr röskun af völdum þessa.</w:t>
                </w:r>
              </w:p>
              <w:p w14:paraId="4454299D" w14:textId="6E59DABC" w:rsidR="002A148C" w:rsidRDefault="002A148C" w:rsidP="005C52DD">
                <w:pPr>
                  <w:pStyle w:val="ListParagraph"/>
                  <w:numPr>
                    <w:ilvl w:val="0"/>
                    <w:numId w:val="2"/>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Áhrif á fyrirtækjaeftirlit og reglubyrði, hversu mörg fyrirtæki verða fyrir áhrifum og hvers konar fyrirtæki? Einföldun laga eða stjórnsýslu? Leitað umsagnar ráðgjafarnefndar um opinberar eftirlitsreglur? Sbr. lög nr. 27/1999. </w:t>
                </w:r>
              </w:p>
              <w:p w14:paraId="0829470D" w14:textId="2FE3AA64" w:rsidR="00D8159E" w:rsidRDefault="00D8159E" w:rsidP="00D8159E">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bCs/>
                    <w:lang w:val="is-IS"/>
                  </w:rPr>
                  <w:t xml:space="preserve">Breytingar samkvæmt reglugerð </w:t>
                </w:r>
                <w:r w:rsidRPr="00D20386">
                  <w:rPr>
                    <w:rFonts w:ascii="Times New Roman" w:hAnsi="Times New Roman" w:cs="Times New Roman"/>
                    <w:lang w:val="is-IS"/>
                  </w:rPr>
                  <w:t>(ESB) 2021/168</w:t>
                </w:r>
                <w:r>
                  <w:rPr>
                    <w:rFonts w:ascii="Times New Roman" w:hAnsi="Times New Roman" w:cs="Times New Roman"/>
                    <w:lang w:val="is-IS"/>
                  </w:rPr>
                  <w:t xml:space="preserve"> snúa einkum að notendum viðmiðana. Undanþága vegna viðmiðana fyrir stundargengi gjaldmiðla þriðju ríkja er ívilnandi og gæti auðveldað íslenskum fjármálafyrirtækjum að veita út- og innflytjendum og öðrum fyrirtækjum fjármálaafurðir til að verjast sveiflum í gengi gjaldmiðla þriðju ríkja. Ákvörðun viðmiðana sem koma í stað Libor-vaxta og annarra viðmiðana sem hætt er að birta ættu að draga úr röskun og óvissu fyrir aðila sem hafa gert samninga sem vísa til Libor-vaxta eða annarra viðmiðana sem hætt er að birta.</w:t>
                </w:r>
              </w:p>
              <w:p w14:paraId="7FEB4FF2" w14:textId="797A3184" w:rsidR="00D8159E" w:rsidRDefault="00D8159E" w:rsidP="00D8159E">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lang w:val="is-IS"/>
                  </w:rPr>
                  <w:t xml:space="preserve">Ráðgjafarnefnd um </w:t>
                </w:r>
                <w:r w:rsidRPr="00F62C2F">
                  <w:rPr>
                    <w:rFonts w:ascii="Times New Roman" w:hAnsi="Times New Roman" w:cs="Times New Roman"/>
                    <w:lang w:val="is-IS"/>
                  </w:rPr>
                  <w:t>opinberar eftirlitsreglur</w:t>
                </w:r>
                <w:r>
                  <w:rPr>
                    <w:rFonts w:ascii="Times New Roman" w:hAnsi="Times New Roman" w:cs="Times New Roman"/>
                    <w:lang w:val="is-IS"/>
                  </w:rPr>
                  <w:t xml:space="preserve"> var send tilkynning um birtingu þessa áhrifamats í samráðsgátt stjórnvalda.</w:t>
                </w:r>
              </w:p>
              <w:p w14:paraId="3A9D0F77" w14:textId="77777777" w:rsidR="002A148C" w:rsidRPr="00F62C2F" w:rsidRDefault="002A148C" w:rsidP="005C52DD">
                <w:pPr>
                  <w:pStyle w:val="ListParagraph"/>
                  <w:numPr>
                    <w:ilvl w:val="0"/>
                    <w:numId w:val="2"/>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Samkeppnisskilyrði</w:t>
                </w:r>
              </w:p>
              <w:p w14:paraId="36671914" w14:textId="4BA65E9E" w:rsidR="002A148C" w:rsidRPr="00F62C2F" w:rsidRDefault="002A148C" w:rsidP="005C52DD">
                <w:pPr>
                  <w:pStyle w:val="ListParagraph"/>
                  <w:numPr>
                    <w:ilvl w:val="0"/>
                    <w:numId w:val="10"/>
                  </w:numPr>
                  <w:spacing w:before="60" w:after="60" w:line="240" w:lineRule="auto"/>
                  <w:contextualSpacing w:val="0"/>
                  <w:jc w:val="both"/>
                  <w:rPr>
                    <w:rFonts w:ascii="Times New Roman" w:hAnsi="Times New Roman" w:cs="Times New Roman"/>
                    <w:i/>
                    <w:lang w:val="is-IS"/>
                  </w:rPr>
                </w:pPr>
                <w:r w:rsidRPr="00F62C2F">
                  <w:rPr>
                    <w:rFonts w:ascii="Times New Roman" w:hAnsi="Times New Roman" w:cs="Times New Roman"/>
                    <w:i/>
                    <w:lang w:val="is-IS"/>
                  </w:rPr>
                  <w:t>Líkur á því að fjöldi fyrirtækja á markaði takmarkist með beinum hætti vegna reglusetningar (líklegt ef aðgerðin felur í sér einhvers konar einkarétt, leyfiskerfi eða kvóta)</w:t>
                </w:r>
              </w:p>
              <w:p w14:paraId="2C7E5684" w14:textId="05007CFA" w:rsidR="00D8159E" w:rsidRDefault="008612CC" w:rsidP="005C52DD">
                <w:pPr>
                  <w:pStyle w:val="ListParagraph"/>
                  <w:spacing w:before="60" w:after="60" w:line="240" w:lineRule="auto"/>
                  <w:ind w:left="1080"/>
                  <w:contextualSpacing w:val="0"/>
                  <w:jc w:val="both"/>
                  <w:rPr>
                    <w:rFonts w:ascii="Times New Roman" w:hAnsi="Times New Roman" w:cs="Times New Roman"/>
                    <w:lang w:val="is-IS"/>
                  </w:rPr>
                </w:pPr>
                <w:r>
                  <w:rPr>
                    <w:rFonts w:ascii="Times New Roman" w:hAnsi="Times New Roman" w:cs="Times New Roman"/>
                    <w:lang w:val="is-IS"/>
                  </w:rPr>
                  <w:t xml:space="preserve">Ekki er talið að lögfesting </w:t>
                </w:r>
                <w:r w:rsidR="00D8159E">
                  <w:rPr>
                    <w:rFonts w:ascii="Times New Roman" w:hAnsi="Times New Roman" w:cs="Times New Roman"/>
                    <w:bCs/>
                    <w:lang w:val="is-IS"/>
                  </w:rPr>
                  <w:t xml:space="preserve">reglugerðar </w:t>
                </w:r>
                <w:r w:rsidR="00D8159E" w:rsidRPr="00D20386">
                  <w:rPr>
                    <w:rFonts w:ascii="Times New Roman" w:hAnsi="Times New Roman" w:cs="Times New Roman"/>
                    <w:lang w:val="is-IS"/>
                  </w:rPr>
                  <w:t>(ESB) 2021/168</w:t>
                </w:r>
                <w:r w:rsidR="00D8159E">
                  <w:rPr>
                    <w:rFonts w:ascii="Times New Roman" w:hAnsi="Times New Roman" w:cs="Times New Roman"/>
                    <w:lang w:val="is-IS"/>
                  </w:rPr>
                  <w:t xml:space="preserve"> </w:t>
                </w:r>
                <w:r>
                  <w:rPr>
                    <w:rFonts w:ascii="Times New Roman" w:hAnsi="Times New Roman" w:cs="Times New Roman"/>
                    <w:lang w:val="is-IS"/>
                  </w:rPr>
                  <w:t xml:space="preserve">takmarki með beinum hætti </w:t>
                </w:r>
                <w:r w:rsidR="00D8159E">
                  <w:rPr>
                    <w:rFonts w:ascii="Times New Roman" w:hAnsi="Times New Roman" w:cs="Times New Roman"/>
                    <w:lang w:val="is-IS"/>
                  </w:rPr>
                  <w:t>fjölda fyrirtækja á markaði.</w:t>
                </w:r>
              </w:p>
              <w:p w14:paraId="2C39EDBB" w14:textId="29657E8C" w:rsidR="002A148C" w:rsidRPr="00F62C2F" w:rsidRDefault="002A148C" w:rsidP="005C52DD">
                <w:pPr>
                  <w:pStyle w:val="ListParagraph"/>
                  <w:numPr>
                    <w:ilvl w:val="0"/>
                    <w:numId w:val="10"/>
                  </w:numPr>
                  <w:spacing w:before="60" w:after="60" w:line="240" w:lineRule="auto"/>
                  <w:contextualSpacing w:val="0"/>
                  <w:jc w:val="both"/>
                  <w:rPr>
                    <w:rFonts w:ascii="Times New Roman" w:hAnsi="Times New Roman" w:cs="Times New Roman"/>
                    <w:i/>
                    <w:lang w:val="is-IS"/>
                  </w:rPr>
                </w:pPr>
                <w:r w:rsidRPr="00F62C2F">
                  <w:rPr>
                    <w:rFonts w:ascii="Times New Roman" w:hAnsi="Times New Roman" w:cs="Times New Roman"/>
                    <w:i/>
                    <w:lang w:val="is-IS"/>
                  </w:rPr>
                  <w:t>Líkur á því að fyrirtækjum á markaði fækki með óbeinum hætti vegna reglusetningar (líklegt ef aðgerðin felur í sér aukinn kostnað við inngöngu á markað eða tekur aðeins til hluta starfandi fyrirtækja)</w:t>
                </w:r>
              </w:p>
              <w:p w14:paraId="3A5FBE87" w14:textId="317AA8AF" w:rsidR="00D8159E" w:rsidRDefault="00D8159E" w:rsidP="00D8159E">
                <w:pPr>
                  <w:pStyle w:val="ListParagraph"/>
                  <w:spacing w:before="60" w:after="60" w:line="240" w:lineRule="auto"/>
                  <w:ind w:left="1080"/>
                  <w:contextualSpacing w:val="0"/>
                  <w:jc w:val="both"/>
                  <w:rPr>
                    <w:rFonts w:ascii="Times New Roman" w:hAnsi="Times New Roman" w:cs="Times New Roman"/>
                    <w:lang w:val="is-IS"/>
                  </w:rPr>
                </w:pPr>
                <w:r>
                  <w:rPr>
                    <w:rFonts w:ascii="Times New Roman" w:hAnsi="Times New Roman" w:cs="Times New Roman"/>
                    <w:lang w:val="is-IS"/>
                  </w:rPr>
                  <w:t xml:space="preserve">Ekki er talið að lögfesting </w:t>
                </w:r>
                <w:r>
                  <w:rPr>
                    <w:rFonts w:ascii="Times New Roman" w:hAnsi="Times New Roman" w:cs="Times New Roman"/>
                    <w:bCs/>
                    <w:lang w:val="is-IS"/>
                  </w:rPr>
                  <w:t xml:space="preserve">reglugerðar </w:t>
                </w:r>
                <w:r w:rsidRPr="00D20386">
                  <w:rPr>
                    <w:rFonts w:ascii="Times New Roman" w:hAnsi="Times New Roman" w:cs="Times New Roman"/>
                    <w:lang w:val="is-IS"/>
                  </w:rPr>
                  <w:t>(ESB) 2021/168</w:t>
                </w:r>
                <w:r>
                  <w:rPr>
                    <w:rFonts w:ascii="Times New Roman" w:hAnsi="Times New Roman" w:cs="Times New Roman"/>
                    <w:lang w:val="is-IS"/>
                  </w:rPr>
                  <w:t xml:space="preserve"> takmarki með óbeinum hætti fjölda fyrirtækja á markaði.</w:t>
                </w:r>
              </w:p>
              <w:p w14:paraId="4561F421" w14:textId="25A66AFB" w:rsidR="002A148C" w:rsidRPr="00F62C2F" w:rsidRDefault="002A148C" w:rsidP="005C52DD">
                <w:pPr>
                  <w:pStyle w:val="ListParagraph"/>
                  <w:numPr>
                    <w:ilvl w:val="0"/>
                    <w:numId w:val="10"/>
                  </w:numPr>
                  <w:spacing w:before="60" w:after="60" w:line="240" w:lineRule="auto"/>
                  <w:contextualSpacing w:val="0"/>
                  <w:jc w:val="both"/>
                  <w:rPr>
                    <w:rFonts w:ascii="Times New Roman" w:hAnsi="Times New Roman" w:cs="Times New Roman"/>
                    <w:i/>
                    <w:lang w:val="is-IS"/>
                  </w:rPr>
                </w:pPr>
                <w:r w:rsidRPr="00F62C2F">
                  <w:rPr>
                    <w:rFonts w:ascii="Times New Roman" w:hAnsi="Times New Roman" w:cs="Times New Roman"/>
                    <w:i/>
                    <w:lang w:val="is-IS"/>
                  </w:rPr>
                  <w:t>Takmarkanir á möguleikum fyrirtækja til þess að mæta samkeppni vegna reglusetningar (líklegt ef aðgerðin hefur áhrif á verð fyrirtækja eða eðli vörunnar t.d. staðlar eða ef aðgerðin takmarkar sölusvæði, svigrúm til að auglýsa eða til að ákveða hvernig vara er framleidd</w:t>
                </w:r>
              </w:p>
              <w:p w14:paraId="7C62F559" w14:textId="6660B7F2" w:rsidR="003D57E8" w:rsidRPr="00F62C2F" w:rsidRDefault="00C03B98" w:rsidP="00C03B98">
                <w:pPr>
                  <w:pStyle w:val="ListParagraph"/>
                  <w:spacing w:before="60" w:after="60" w:line="240" w:lineRule="auto"/>
                  <w:ind w:left="1080"/>
                  <w:contextualSpacing w:val="0"/>
                  <w:jc w:val="both"/>
                  <w:rPr>
                    <w:rFonts w:ascii="Times New Roman" w:hAnsi="Times New Roman" w:cs="Times New Roman"/>
                    <w:lang w:val="is-IS"/>
                  </w:rPr>
                </w:pPr>
                <w:r>
                  <w:rPr>
                    <w:rFonts w:ascii="Times New Roman" w:hAnsi="Times New Roman" w:cs="Times New Roman"/>
                    <w:lang w:val="is-IS"/>
                  </w:rPr>
                  <w:t xml:space="preserve">Ekki er talið að lögfesting </w:t>
                </w:r>
                <w:r w:rsidR="00D8159E">
                  <w:rPr>
                    <w:rFonts w:ascii="Times New Roman" w:hAnsi="Times New Roman" w:cs="Times New Roman"/>
                    <w:bCs/>
                    <w:lang w:val="is-IS"/>
                  </w:rPr>
                  <w:t xml:space="preserve">reglugerðar </w:t>
                </w:r>
                <w:r w:rsidR="00D8159E" w:rsidRPr="00D20386">
                  <w:rPr>
                    <w:rFonts w:ascii="Times New Roman" w:hAnsi="Times New Roman" w:cs="Times New Roman"/>
                    <w:lang w:val="is-IS"/>
                  </w:rPr>
                  <w:t>(ESB) 2021/168</w:t>
                </w:r>
                <w:r w:rsidR="00D8159E">
                  <w:rPr>
                    <w:rFonts w:ascii="Times New Roman" w:hAnsi="Times New Roman" w:cs="Times New Roman"/>
                    <w:lang w:val="is-IS"/>
                  </w:rPr>
                  <w:t xml:space="preserve"> </w:t>
                </w:r>
                <w:r>
                  <w:rPr>
                    <w:rFonts w:ascii="Times New Roman" w:hAnsi="Times New Roman" w:cs="Times New Roman"/>
                    <w:lang w:val="is-IS"/>
                  </w:rPr>
                  <w:t>takmarki möguleika fyrirtækja til að mæta samkeppni.</w:t>
                </w:r>
              </w:p>
              <w:p w14:paraId="112F782B" w14:textId="77777777" w:rsidR="00F05EE3" w:rsidRPr="00F62C2F" w:rsidRDefault="002A148C" w:rsidP="005C52DD">
                <w:pPr>
                  <w:pStyle w:val="ListParagraph"/>
                  <w:numPr>
                    <w:ilvl w:val="0"/>
                    <w:numId w:val="10"/>
                  </w:numPr>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i/>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59DF5D9E" w14:textId="442DFB1F" w:rsidR="002A148C" w:rsidRPr="00D8159E" w:rsidRDefault="00D8159E" w:rsidP="00D8159E">
                <w:pPr>
                  <w:pStyle w:val="ListParagraph"/>
                  <w:spacing w:before="60" w:after="60" w:line="240" w:lineRule="auto"/>
                  <w:ind w:left="1080"/>
                  <w:contextualSpacing w:val="0"/>
                  <w:jc w:val="both"/>
                  <w:rPr>
                    <w:rFonts w:ascii="Times New Roman" w:hAnsi="Times New Roman" w:cs="Times New Roman"/>
                    <w:lang w:val="is-IS"/>
                  </w:rPr>
                </w:pPr>
                <w:r>
                  <w:rPr>
                    <w:rFonts w:ascii="Times New Roman" w:hAnsi="Times New Roman" w:cs="Times New Roman"/>
                    <w:lang w:val="is-IS"/>
                  </w:rPr>
                  <w:t xml:space="preserve">Ekki er talið að lögfesting </w:t>
                </w:r>
                <w:r>
                  <w:rPr>
                    <w:rFonts w:ascii="Times New Roman" w:hAnsi="Times New Roman" w:cs="Times New Roman"/>
                    <w:bCs/>
                    <w:lang w:val="is-IS"/>
                  </w:rPr>
                  <w:t xml:space="preserve">reglugerðar </w:t>
                </w:r>
                <w:r w:rsidRPr="00D20386">
                  <w:rPr>
                    <w:rFonts w:ascii="Times New Roman" w:hAnsi="Times New Roman" w:cs="Times New Roman"/>
                    <w:lang w:val="is-IS"/>
                  </w:rPr>
                  <w:t>(ESB) 2021/168</w:t>
                </w:r>
                <w:r w:rsidR="00825757">
                  <w:rPr>
                    <w:rFonts w:ascii="Times New Roman" w:hAnsi="Times New Roman" w:cs="Times New Roman"/>
                    <w:lang w:val="is-IS"/>
                  </w:rPr>
                  <w:t xml:space="preserve"> takmarki</w:t>
                </w:r>
                <w:r>
                  <w:rPr>
                    <w:rFonts w:ascii="Times New Roman" w:hAnsi="Times New Roman" w:cs="Times New Roman"/>
                    <w:lang w:val="is-IS"/>
                  </w:rPr>
                  <w:t xml:space="preserve"> frumkvæði fyrirtækja til að stunda samkeppni.</w:t>
                </w:r>
              </w:p>
            </w:sdtContent>
          </w:sdt>
        </w:tc>
      </w:tr>
      <w:tr w:rsidR="002A148C" w:rsidRPr="00F62C2F" w14:paraId="2133E979" w14:textId="77777777" w:rsidTr="007414CB">
        <w:tc>
          <w:tcPr>
            <w:tcW w:w="9288" w:type="dxa"/>
            <w:shd w:val="clear" w:color="auto" w:fill="9CC2E5" w:themeFill="accent5" w:themeFillTint="99"/>
          </w:tcPr>
          <w:p w14:paraId="42285AE5" w14:textId="77777777" w:rsidR="002A148C" w:rsidRPr="00F62C2F" w:rsidRDefault="002A148C" w:rsidP="005C52D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F62C2F">
              <w:rPr>
                <w:rFonts w:ascii="Times New Roman" w:hAnsi="Times New Roman" w:cs="Times New Roman"/>
                <w:b/>
                <w:lang w:val="is-IS"/>
              </w:rPr>
              <w:lastRenderedPageBreak/>
              <w:t>Önnur áhrif</w:t>
            </w:r>
          </w:p>
        </w:tc>
      </w:tr>
      <w:tr w:rsidR="002A148C" w:rsidRPr="00F62C2F" w14:paraId="1020D277"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 w14:paraId="5F90781C" w14:textId="77777777"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b/>
                    <w:lang w:val="is-IS"/>
                  </w:rPr>
                  <w:t>Áhrif á fjárhag sveitarfélaga, sbr. 129. gr. sveitarstjórnarlaga, nr. 138/2011</w:t>
                </w:r>
              </w:p>
              <w:p w14:paraId="445CAA01" w14:textId="3ABD116D" w:rsidR="002A148C" w:rsidRPr="00F62C2F" w:rsidRDefault="00D6313C" w:rsidP="005C52DD">
                <w:pPr>
                  <w:pStyle w:val="ListParagraph"/>
                  <w:spacing w:before="60" w:after="60"/>
                  <w:contextualSpacing w:val="0"/>
                  <w:jc w:val="both"/>
                  <w:rPr>
                    <w:rFonts w:ascii="Times New Roman" w:hAnsi="Times New Roman" w:cs="Times New Roman"/>
                    <w:lang w:val="is-IS"/>
                  </w:rPr>
                </w:pPr>
                <w:r w:rsidRPr="00F62C2F">
                  <w:rPr>
                    <w:rFonts w:ascii="Times New Roman" w:hAnsi="Times New Roman" w:cs="Times New Roman"/>
                    <w:lang w:val="is-IS"/>
                  </w:rPr>
                  <w:t>Ekki er gert ráð fyrir áhrifum á fjárhag sveitarfélaga.</w:t>
                </w:r>
              </w:p>
              <w:p w14:paraId="31F2CE6B" w14:textId="77777777"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b/>
                    <w:lang w:val="is-IS"/>
                  </w:rPr>
                  <w:t>Áhrif á frelsi til að veita þjónustu (með eða án staðfestu á Íslandi)</w:t>
                </w:r>
              </w:p>
              <w:p w14:paraId="46E021F0" w14:textId="1FC8D036" w:rsidR="00825757" w:rsidRDefault="00825757" w:rsidP="005C52DD">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lang w:val="is-IS"/>
                  </w:rPr>
                  <w:t>Lögfesting gerðarinnar gæti auðveldað fjármálafyrirtækjum að veita þjónustu sem styðst við viðmiðanir fyrir stundargengi gjaldmiðla þriðju ríkja.</w:t>
                </w:r>
              </w:p>
              <w:p w14:paraId="6670D7E1" w14:textId="77777777"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b/>
                    <w:lang w:val="is-IS"/>
                  </w:rPr>
                  <w:t xml:space="preserve">Áhrif á tæknilegar reglur um vöru og fjarþjónustu, sbr. lög nr. 57/2000  </w:t>
                </w:r>
              </w:p>
              <w:p w14:paraId="1216B7AB" w14:textId="7233D0E5" w:rsidR="002A148C" w:rsidRPr="00F62C2F" w:rsidRDefault="00D6313C" w:rsidP="005C52DD">
                <w:pPr>
                  <w:pStyle w:val="ListParagraph"/>
                  <w:spacing w:before="60" w:after="60"/>
                  <w:contextualSpacing w:val="0"/>
                  <w:jc w:val="both"/>
                  <w:rPr>
                    <w:rFonts w:ascii="Times New Roman" w:hAnsi="Times New Roman" w:cs="Times New Roman"/>
                    <w:lang w:val="is-IS"/>
                  </w:rPr>
                </w:pPr>
                <w:r w:rsidRPr="00F62C2F">
                  <w:rPr>
                    <w:rFonts w:ascii="Times New Roman" w:hAnsi="Times New Roman" w:cs="Times New Roman"/>
                    <w:lang w:val="is-IS"/>
                  </w:rPr>
                  <w:t>Á ekki við.</w:t>
                </w:r>
              </w:p>
              <w:p w14:paraId="0C90E84D" w14:textId="48E1E6F0"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á byggðalög</w:t>
                </w:r>
              </w:p>
              <w:p w14:paraId="1D6567DF" w14:textId="05240D00" w:rsidR="00D6313C" w:rsidRPr="00F62C2F" w:rsidRDefault="003A507A" w:rsidP="005C52DD">
                <w:pPr>
                  <w:pStyle w:val="ListParagraph"/>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lang w:val="is-IS"/>
                  </w:rPr>
                  <w:t>Ekki er gert ráð fyrir áhrifum</w:t>
                </w:r>
                <w:r w:rsidR="00D6313C" w:rsidRPr="00F62C2F">
                  <w:rPr>
                    <w:rFonts w:ascii="Times New Roman" w:hAnsi="Times New Roman" w:cs="Times New Roman"/>
                    <w:lang w:val="is-IS"/>
                  </w:rPr>
                  <w:t xml:space="preserve"> á byggðalög.</w:t>
                </w:r>
              </w:p>
              <w:p w14:paraId="2E2C88E6" w14:textId="656426F5"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á frjáls félagasamtök</w:t>
                </w:r>
              </w:p>
              <w:p w14:paraId="4E376177" w14:textId="22A98184" w:rsidR="00D6313C" w:rsidRPr="00F62C2F" w:rsidRDefault="003A507A" w:rsidP="005C52DD">
                <w:pPr>
                  <w:pStyle w:val="ListParagraph"/>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lang w:val="is-IS"/>
                  </w:rPr>
                  <w:lastRenderedPageBreak/>
                  <w:t xml:space="preserve">Ekki er gert ráð fyrir áhrifum á </w:t>
                </w:r>
                <w:r w:rsidR="00D6313C" w:rsidRPr="00F62C2F">
                  <w:rPr>
                    <w:rFonts w:ascii="Times New Roman" w:hAnsi="Times New Roman" w:cs="Times New Roman"/>
                    <w:lang w:val="is-IS"/>
                  </w:rPr>
                  <w:t>frjáls félagasamtök.</w:t>
                </w:r>
              </w:p>
              <w:p w14:paraId="7D8C987F" w14:textId="77777777"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á jafnrétti kynjanna</w:t>
                </w:r>
              </w:p>
              <w:p w14:paraId="15C34224" w14:textId="56F56EDC" w:rsidR="002A148C" w:rsidRPr="00F62C2F" w:rsidRDefault="003A507A" w:rsidP="005C52DD">
                <w:pPr>
                  <w:pStyle w:val="ListParagraph"/>
                  <w:spacing w:before="60" w:after="60"/>
                  <w:contextualSpacing w:val="0"/>
                  <w:jc w:val="both"/>
                  <w:rPr>
                    <w:rFonts w:ascii="Times New Roman" w:hAnsi="Times New Roman" w:cs="Times New Roman"/>
                    <w:lang w:val="is-IS"/>
                  </w:rPr>
                </w:pPr>
                <w:r w:rsidRPr="00F62C2F">
                  <w:rPr>
                    <w:rFonts w:ascii="Times New Roman" w:hAnsi="Times New Roman" w:cs="Times New Roman"/>
                    <w:lang w:val="is-IS"/>
                  </w:rPr>
                  <w:t xml:space="preserve">Ekki er gert ráð fyrir áhrifum á </w:t>
                </w:r>
                <w:r w:rsidR="00D6313C" w:rsidRPr="00F62C2F">
                  <w:rPr>
                    <w:rFonts w:ascii="Times New Roman" w:hAnsi="Times New Roman" w:cs="Times New Roman"/>
                    <w:lang w:val="is-IS"/>
                  </w:rPr>
                  <w:t>jafnrétti kynjanna.</w:t>
                </w:r>
              </w:p>
              <w:p w14:paraId="7ECD183F" w14:textId="54FF285D"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a lýðheilsu</w:t>
                </w:r>
              </w:p>
              <w:p w14:paraId="5BBC5D16" w14:textId="52065DCA" w:rsidR="00D6313C" w:rsidRPr="00F62C2F" w:rsidRDefault="003A507A" w:rsidP="005C52DD">
                <w:pPr>
                  <w:pStyle w:val="ListParagraph"/>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lang w:val="is-IS"/>
                  </w:rPr>
                  <w:t>Ekki er gert ráð fyrir áhrifum á</w:t>
                </w:r>
                <w:r w:rsidR="00D6313C" w:rsidRPr="00F62C2F">
                  <w:rPr>
                    <w:rFonts w:ascii="Times New Roman" w:hAnsi="Times New Roman" w:cs="Times New Roman"/>
                    <w:lang w:val="is-IS"/>
                  </w:rPr>
                  <w:t xml:space="preserve"> lýðheilsu.</w:t>
                </w:r>
              </w:p>
              <w:p w14:paraId="1D28196E" w14:textId="7EEED601"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á menntun, nýsköpun og rannsóknir</w:t>
                </w:r>
              </w:p>
              <w:p w14:paraId="2B94DAD4" w14:textId="7BCB0247" w:rsidR="00D6313C" w:rsidRPr="00F62C2F" w:rsidRDefault="003A507A" w:rsidP="005C52DD">
                <w:pPr>
                  <w:pStyle w:val="ListParagraph"/>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lang w:val="is-IS"/>
                  </w:rPr>
                  <w:t xml:space="preserve">Ekki er gert ráð fyrir áhrifum á </w:t>
                </w:r>
                <w:r w:rsidR="00D6313C" w:rsidRPr="00F62C2F">
                  <w:rPr>
                    <w:rFonts w:ascii="Times New Roman" w:hAnsi="Times New Roman" w:cs="Times New Roman"/>
                    <w:lang w:val="is-IS"/>
                  </w:rPr>
                  <w:t>menntun, nýsköpun og rannsóknir.</w:t>
                </w:r>
              </w:p>
              <w:p w14:paraId="26646435" w14:textId="172A330E"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á möguleika einstaklinga og fyrirtækja til að eiga samskipti þvert á norræn landamæri</w:t>
                </w:r>
              </w:p>
              <w:p w14:paraId="48F55596" w14:textId="3335AF3D" w:rsidR="00D6313C" w:rsidRPr="00F62C2F" w:rsidRDefault="00D6313C" w:rsidP="005C52DD">
                <w:pPr>
                  <w:pStyle w:val="ListParagraph"/>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lang w:val="is-IS"/>
                  </w:rPr>
                  <w:t xml:space="preserve">Innleiðing </w:t>
                </w:r>
                <w:r w:rsidR="00825757">
                  <w:rPr>
                    <w:rFonts w:ascii="Times New Roman" w:hAnsi="Times New Roman" w:cs="Times New Roman"/>
                    <w:bCs/>
                    <w:lang w:val="is-IS"/>
                  </w:rPr>
                  <w:t xml:space="preserve">reglugerðar </w:t>
                </w:r>
                <w:r w:rsidR="00825757" w:rsidRPr="00D20386">
                  <w:rPr>
                    <w:rFonts w:ascii="Times New Roman" w:hAnsi="Times New Roman" w:cs="Times New Roman"/>
                    <w:lang w:val="is-IS"/>
                  </w:rPr>
                  <w:t>(ESB) 2021/168</w:t>
                </w:r>
                <w:r w:rsidR="00825757">
                  <w:rPr>
                    <w:rFonts w:ascii="Times New Roman" w:hAnsi="Times New Roman" w:cs="Times New Roman"/>
                    <w:lang w:val="is-IS"/>
                  </w:rPr>
                  <w:t xml:space="preserve"> </w:t>
                </w:r>
                <w:r w:rsidRPr="00F62C2F">
                  <w:rPr>
                    <w:rFonts w:ascii="Times New Roman" w:hAnsi="Times New Roman" w:cs="Times New Roman"/>
                    <w:lang w:val="is-IS"/>
                  </w:rPr>
                  <w:t>kann að greiða fyrir viðskiptum sem byggjast á fjárhagslegum viðmiðunum þvert á norræn landamæri.</w:t>
                </w:r>
              </w:p>
              <w:p w14:paraId="74651786" w14:textId="403DC1FB"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á stjórnsýslu, s.s. hvort ráðuneyti og stofnanir eru í stakk búin til að taka við verkefni</w:t>
                </w:r>
              </w:p>
              <w:p w14:paraId="7B918974" w14:textId="594CA000" w:rsidR="00825757" w:rsidRPr="004B6CC6" w:rsidRDefault="00825757" w:rsidP="00825757">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 xml:space="preserve">Fjármálaeftirlitið telur </w:t>
                </w:r>
                <w:r w:rsidR="00F47DEC">
                  <w:rPr>
                    <w:rFonts w:ascii="Times New Roman" w:hAnsi="Times New Roman" w:cs="Times New Roman"/>
                    <w:lang w:val="is-IS"/>
                  </w:rPr>
                  <w:t>lögfestingu reglugerðar (ESB) 2021/168</w:t>
                </w:r>
                <w:r w:rsidR="004326D8">
                  <w:rPr>
                    <w:rFonts w:ascii="Times New Roman" w:hAnsi="Times New Roman" w:cs="Times New Roman"/>
                    <w:lang w:val="is-IS"/>
                  </w:rPr>
                  <w:t xml:space="preserve"> </w:t>
                </w:r>
                <w:r w:rsidRPr="004B6CC6">
                  <w:rPr>
                    <w:rFonts w:ascii="Times New Roman" w:hAnsi="Times New Roman" w:cs="Times New Roman"/>
                    <w:lang w:val="is-IS"/>
                  </w:rPr>
                  <w:t xml:space="preserve">ekki kalla á </w:t>
                </w:r>
                <w:r>
                  <w:rPr>
                    <w:rFonts w:ascii="Times New Roman" w:hAnsi="Times New Roman" w:cs="Times New Roman"/>
                    <w:lang w:val="is-IS"/>
                  </w:rPr>
                  <w:t>aukin verkefni eða kostnað</w:t>
                </w:r>
                <w:r w:rsidRPr="004B6CC6">
                  <w:rPr>
                    <w:rFonts w:ascii="Times New Roman" w:hAnsi="Times New Roman" w:cs="Times New Roman"/>
                    <w:lang w:val="is-IS"/>
                  </w:rPr>
                  <w:t xml:space="preserve">. </w:t>
                </w:r>
              </w:p>
              <w:p w14:paraId="65445A73" w14:textId="0CAF9F6D" w:rsidR="002A148C"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Áhrif á stöðu tiltekinna þjóðfélagshópa, s.s. aldurshópa, tekjuhópa, mismunandi fjölskyldugerðir, launþega</w:t>
                </w:r>
                <w:r w:rsidRPr="00F62C2F">
                  <w:rPr>
                    <w:rFonts w:ascii="Times New Roman" w:hAnsi="Times New Roman" w:cs="Times New Roman"/>
                    <w:b/>
                    <w:color w:val="FF0000"/>
                    <w:lang w:val="is-IS"/>
                  </w:rPr>
                  <w:t>/</w:t>
                </w:r>
                <w:r w:rsidRPr="00F62C2F">
                  <w:rPr>
                    <w:rFonts w:ascii="Times New Roman" w:hAnsi="Times New Roman" w:cs="Times New Roman"/>
                    <w:b/>
                    <w:lang w:val="is-IS"/>
                  </w:rPr>
                  <w:t>sjálfstætt starfandi</w:t>
                </w:r>
                <w:r w:rsidRPr="00F62C2F">
                  <w:rPr>
                    <w:rFonts w:ascii="Times New Roman" w:hAnsi="Times New Roman" w:cs="Times New Roman"/>
                    <w:b/>
                    <w:color w:val="FF0000"/>
                    <w:lang w:val="is-IS"/>
                  </w:rPr>
                  <w:t>/</w:t>
                </w:r>
                <w:r w:rsidRPr="00F62C2F">
                  <w:rPr>
                    <w:rFonts w:ascii="Times New Roman" w:hAnsi="Times New Roman" w:cs="Times New Roman"/>
                    <w:b/>
                    <w:lang w:val="is-IS"/>
                  </w:rPr>
                  <w:t>utan vinnumarkaðar</w:t>
                </w:r>
              </w:p>
              <w:p w14:paraId="4883CD92" w14:textId="47585DAB" w:rsidR="00897978" w:rsidRPr="00F62C2F" w:rsidRDefault="003A507A" w:rsidP="005C52DD">
                <w:pPr>
                  <w:pStyle w:val="ListParagraph"/>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lang w:val="is-IS"/>
                  </w:rPr>
                  <w:t>Ekki er gert ráð fyrir áhrifum á</w:t>
                </w:r>
                <w:r w:rsidR="00897978" w:rsidRPr="00F62C2F">
                  <w:rPr>
                    <w:rFonts w:ascii="Times New Roman" w:hAnsi="Times New Roman" w:cs="Times New Roman"/>
                    <w:lang w:val="is-IS"/>
                  </w:rPr>
                  <w:t xml:space="preserve"> stöðu tiltekinna þjóðfélagshópa.</w:t>
                </w:r>
              </w:p>
              <w:p w14:paraId="74006984" w14:textId="77777777" w:rsidR="00897978" w:rsidRPr="00F62C2F" w:rsidRDefault="002A148C" w:rsidP="005C52DD">
                <w:pPr>
                  <w:pStyle w:val="ListParagraph"/>
                  <w:numPr>
                    <w:ilvl w:val="0"/>
                    <w:numId w:val="6"/>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Áhrif á umhverfi og sjálfbæra þróun </w:t>
                </w:r>
              </w:p>
              <w:p w14:paraId="0A4EE7D7" w14:textId="61D165F1" w:rsidR="002A148C" w:rsidRPr="00F62C2F" w:rsidRDefault="003A507A" w:rsidP="005C52DD">
                <w:pPr>
                  <w:pStyle w:val="ListParagraph"/>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lang w:val="is-IS"/>
                  </w:rPr>
                  <w:t xml:space="preserve">Ekki er gert ráð fyrir áhrifum á </w:t>
                </w:r>
                <w:r w:rsidR="00897978" w:rsidRPr="00F62C2F">
                  <w:rPr>
                    <w:rFonts w:ascii="Times New Roman" w:hAnsi="Times New Roman" w:cs="Times New Roman"/>
                    <w:lang w:val="is-IS"/>
                  </w:rPr>
                  <w:t>umhverfi og sjálfbæra þróun.</w:t>
                </w:r>
              </w:p>
            </w:sdtContent>
          </w:sdt>
        </w:tc>
      </w:tr>
      <w:tr w:rsidR="002A148C" w:rsidRPr="00F62C2F" w14:paraId="0F1348E1" w14:textId="77777777" w:rsidTr="007414CB">
        <w:tc>
          <w:tcPr>
            <w:tcW w:w="9288" w:type="dxa"/>
            <w:shd w:val="clear" w:color="auto" w:fill="9CC2E5" w:themeFill="accent5" w:themeFillTint="99"/>
          </w:tcPr>
          <w:p w14:paraId="5636CAEA" w14:textId="62A4206C" w:rsidR="002A148C" w:rsidRPr="00F62C2F" w:rsidRDefault="002A148C" w:rsidP="005C52D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F62C2F">
              <w:rPr>
                <w:rFonts w:ascii="Times New Roman" w:hAnsi="Times New Roman" w:cs="Times New Roman"/>
                <w:b/>
                <w:lang w:val="is-IS"/>
              </w:rPr>
              <w:lastRenderedPageBreak/>
              <w:t>Niðurstaða mats – með vísun í fylgiskjöl ef við á</w:t>
            </w:r>
          </w:p>
        </w:tc>
      </w:tr>
      <w:tr w:rsidR="002A148C" w:rsidRPr="00F62C2F" w14:paraId="3354C44D"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 w14:paraId="71DF995B" w14:textId="40371DF4" w:rsidR="002A148C" w:rsidRPr="00F62C2F" w:rsidRDefault="002A148C" w:rsidP="005C52DD">
                <w:pPr>
                  <w:pStyle w:val="ListParagraph"/>
                  <w:numPr>
                    <w:ilvl w:val="0"/>
                    <w:numId w:val="5"/>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Samandregin niðurstaða fjárhagsáhrifa fyrir ríkissjóð – heildarútkoma varðandi tekjur, gjöld, afkomu og efnahag  </w:t>
                </w:r>
              </w:p>
              <w:p w14:paraId="400A81D9" w14:textId="51B0F19A" w:rsidR="00232F44" w:rsidRDefault="00825757" w:rsidP="005C52DD">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lang w:val="is-IS"/>
                  </w:rPr>
                  <w:t>Ekki er gert ráð fyrir áhrifum á fjárhag ríkissjóðs.</w:t>
                </w:r>
              </w:p>
              <w:p w14:paraId="2A0B2C0D" w14:textId="17A408D6" w:rsidR="002A148C" w:rsidRPr="00F62C2F" w:rsidRDefault="002A148C" w:rsidP="005C52DD">
                <w:pPr>
                  <w:pStyle w:val="ListParagraph"/>
                  <w:numPr>
                    <w:ilvl w:val="0"/>
                    <w:numId w:val="5"/>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Önnur áhrif en bein fjárhagsáhrif, álitamál eða fyrirvarar sem ástæða þykir til að vekja athygli á </w:t>
                </w:r>
              </w:p>
              <w:p w14:paraId="0AF3BB15" w14:textId="6931E4AE" w:rsidR="007049A9" w:rsidRPr="00F62C2F" w:rsidRDefault="007049A9" w:rsidP="005C52DD">
                <w:pPr>
                  <w:pStyle w:val="ListParagraph"/>
                  <w:spacing w:before="60" w:after="60" w:line="240" w:lineRule="auto"/>
                  <w:contextualSpacing w:val="0"/>
                  <w:jc w:val="both"/>
                  <w:rPr>
                    <w:rFonts w:ascii="Times New Roman" w:hAnsi="Times New Roman" w:cs="Times New Roman"/>
                    <w:lang w:val="is-IS"/>
                  </w:rPr>
                </w:pPr>
                <w:r w:rsidRPr="00F62C2F">
                  <w:rPr>
                    <w:rFonts w:ascii="Times New Roman" w:hAnsi="Times New Roman" w:cs="Times New Roman"/>
                    <w:lang w:val="is-IS"/>
                  </w:rPr>
                  <w:t>Nei.</w:t>
                </w:r>
              </w:p>
              <w:p w14:paraId="4A734F4A" w14:textId="77777777" w:rsidR="007049A9" w:rsidRPr="00F62C2F" w:rsidRDefault="002A148C" w:rsidP="005C52DD">
                <w:pPr>
                  <w:pStyle w:val="ListParagraph"/>
                  <w:numPr>
                    <w:ilvl w:val="0"/>
                    <w:numId w:val="5"/>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Samfélagslegur ávinningur veginn á móti kostnaði og fyrirhöfn (ekki gerð krafa um tölulegt mat)</w:t>
                </w:r>
              </w:p>
              <w:p w14:paraId="09A5A918" w14:textId="614FF031" w:rsidR="002A148C" w:rsidRPr="002528A2" w:rsidRDefault="002528A2" w:rsidP="002528A2">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lang w:val="is-IS"/>
                  </w:rPr>
                  <w:t>Undanþága vegna viðmiðana fyrir stundargengi gjaldmiðla þriðju ríkja er ívilnandi og gæti auðveldað íslenskum fjármálafyrirtækjum að veita út- og innflytjendum og öðrum fyrirtækjum fjármálaafurðir til að verjast sveiflum í gengi gjaldmiðla þriðju ríkja. Ákvörðun viðmiðana sem koma í stað Libor-vaxta og annarra viðmiðana sem hætt er að birta ætt</w:t>
                </w:r>
                <w:r w:rsidR="00F164B4">
                  <w:rPr>
                    <w:rFonts w:ascii="Times New Roman" w:hAnsi="Times New Roman" w:cs="Times New Roman"/>
                    <w:lang w:val="is-IS"/>
                  </w:rPr>
                  <w:t>i</w:t>
                </w:r>
                <w:r>
                  <w:rPr>
                    <w:rFonts w:ascii="Times New Roman" w:hAnsi="Times New Roman" w:cs="Times New Roman"/>
                    <w:lang w:val="is-IS"/>
                  </w:rPr>
                  <w:t xml:space="preserve"> að draga úr röskun og óvissu fyrir aðila sem hafa gert samninga sem vísa til Libor-vaxta eða annarra viðmiðana sem hætt er að birta. Ekki er talið að lögfestingu reglugerðarinnar fylgi teljandi kostnaður eða fyrirhöfn.</w:t>
                </w:r>
              </w:p>
            </w:sdtContent>
          </w:sdt>
        </w:tc>
      </w:tr>
      <w:tr w:rsidR="002A148C" w:rsidRPr="00F62C2F" w14:paraId="30971141" w14:textId="77777777" w:rsidTr="00EB6651">
        <w:tc>
          <w:tcPr>
            <w:tcW w:w="9288" w:type="dxa"/>
            <w:shd w:val="clear" w:color="auto" w:fill="9CC2E5" w:themeFill="accent5" w:themeFillTint="99"/>
          </w:tcPr>
          <w:p w14:paraId="55FB9BDB" w14:textId="77777777" w:rsidR="002A148C" w:rsidRPr="00F62C2F" w:rsidRDefault="002A148C" w:rsidP="005C52DD">
            <w:pPr>
              <w:pStyle w:val="ListParagraph"/>
              <w:numPr>
                <w:ilvl w:val="0"/>
                <w:numId w:val="1"/>
              </w:numPr>
              <w:spacing w:before="60" w:after="60" w:line="240" w:lineRule="auto"/>
              <w:ind w:left="426" w:hanging="284"/>
              <w:jc w:val="both"/>
              <w:rPr>
                <w:rFonts w:ascii="Times New Roman" w:hAnsi="Times New Roman" w:cs="Times New Roman"/>
                <w:b/>
                <w:lang w:val="is-IS"/>
              </w:rPr>
            </w:pPr>
            <w:r w:rsidRPr="00F62C2F">
              <w:rPr>
                <w:rFonts w:ascii="Times New Roman" w:hAnsi="Times New Roman" w:cs="Times New Roman"/>
                <w:b/>
                <w:lang w:val="is-IS"/>
              </w:rPr>
              <w:t>Til útfyllingar vegna endanlegs mats – breytingar frá frummati</w:t>
            </w:r>
          </w:p>
        </w:tc>
      </w:tr>
      <w:tr w:rsidR="002A148C" w:rsidRPr="00F62C2F" w14:paraId="7FB65D83" w14:textId="77777777" w:rsidTr="00EB6651">
        <w:tc>
          <w:tcPr>
            <w:tcW w:w="9288" w:type="dxa"/>
          </w:tcPr>
          <w:sdt>
            <w:sdtPr>
              <w:rPr>
                <w:rFonts w:ascii="Times New Roman" w:hAnsi="Times New Roman" w:cs="Times New Roman"/>
                <w:b/>
                <w:lang w:val="is-IS"/>
              </w:rPr>
              <w:id w:val="-1269299813"/>
            </w:sdtPr>
            <w:sdtEndPr>
              <w:rPr>
                <w:rFonts w:asciiTheme="minorHAnsi" w:hAnsiTheme="minorHAnsi" w:cstheme="minorBidi"/>
                <w:b w:val="0"/>
                <w:lang w:val="en-US"/>
              </w:rPr>
            </w:sdtEndPr>
            <w:sdtContent>
              <w:p w14:paraId="2E7DA549" w14:textId="57F82717" w:rsidR="002A148C" w:rsidRDefault="002A148C" w:rsidP="005C52DD">
                <w:pPr>
                  <w:pStyle w:val="ListParagraph"/>
                  <w:numPr>
                    <w:ilvl w:val="0"/>
                    <w:numId w:val="11"/>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Voru áform um lagasetninguna ásamt frummati á áhrifum kynnt fyrir FJR? </w:t>
                </w:r>
              </w:p>
              <w:p w14:paraId="6600916B" w14:textId="570A49D5" w:rsidR="00F85BF5" w:rsidRPr="00F85BF5" w:rsidRDefault="00F85BF5" w:rsidP="00F85BF5">
                <w:pPr>
                  <w:spacing w:before="60" w:after="60"/>
                  <w:ind w:left="360"/>
                  <w:jc w:val="both"/>
                  <w:rPr>
                    <w:rFonts w:ascii="Times New Roman" w:hAnsi="Times New Roman" w:cs="Times New Roman"/>
                    <w:bCs/>
                    <w:lang w:val="is-IS"/>
                  </w:rPr>
                </w:pPr>
                <w:r>
                  <w:rPr>
                    <w:rFonts w:ascii="Times New Roman" w:hAnsi="Times New Roman" w:cs="Times New Roman"/>
                    <w:bCs/>
                    <w:lang w:val="is-IS"/>
                  </w:rPr>
                  <w:t>Áformin og frummatið voru unnin í fjármála- og efnahagsráðuneytinu.</w:t>
                </w:r>
              </w:p>
              <w:p w14:paraId="253A9D9D" w14:textId="40BF504A" w:rsidR="002A148C" w:rsidRDefault="002A148C" w:rsidP="005C52DD">
                <w:pPr>
                  <w:pStyle w:val="ListParagraph"/>
                  <w:numPr>
                    <w:ilvl w:val="0"/>
                    <w:numId w:val="11"/>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Eru helstu efnisatriði frumvarpsins óbreytt/lítið breytt frá þeim tíma? </w:t>
                </w:r>
              </w:p>
              <w:p w14:paraId="0677ED8B" w14:textId="0A8A8488" w:rsidR="00F85BF5" w:rsidRPr="00F85BF5" w:rsidRDefault="00F85BF5" w:rsidP="00F85BF5">
                <w:pPr>
                  <w:spacing w:before="60" w:after="60"/>
                  <w:ind w:left="360"/>
                  <w:jc w:val="both"/>
                  <w:rPr>
                    <w:rFonts w:ascii="Times New Roman" w:hAnsi="Times New Roman" w:cs="Times New Roman"/>
                    <w:bCs/>
                    <w:lang w:val="is-IS"/>
                  </w:rPr>
                </w:pPr>
                <w:r>
                  <w:rPr>
                    <w:rFonts w:ascii="Times New Roman" w:hAnsi="Times New Roman" w:cs="Times New Roman"/>
                    <w:bCs/>
                    <w:lang w:val="is-IS"/>
                  </w:rPr>
                  <w:t>Já.</w:t>
                </w:r>
              </w:p>
              <w:p w14:paraId="660A3024" w14:textId="77777777" w:rsidR="00F85BF5" w:rsidRDefault="002A148C" w:rsidP="005C52DD">
                <w:pPr>
                  <w:pStyle w:val="ListParagraph"/>
                  <w:numPr>
                    <w:ilvl w:val="0"/>
                    <w:numId w:val="11"/>
                  </w:numPr>
                  <w:spacing w:before="60" w:after="60" w:line="240" w:lineRule="auto"/>
                  <w:contextualSpacing w:val="0"/>
                  <w:jc w:val="both"/>
                  <w:rPr>
                    <w:rFonts w:ascii="Times New Roman" w:hAnsi="Times New Roman" w:cs="Times New Roman"/>
                    <w:b/>
                    <w:lang w:val="is-IS"/>
                  </w:rPr>
                </w:pPr>
                <w:r w:rsidRPr="00F62C2F">
                  <w:rPr>
                    <w:rFonts w:ascii="Times New Roman" w:hAnsi="Times New Roman" w:cs="Times New Roman"/>
                    <w:b/>
                    <w:lang w:val="is-IS"/>
                  </w:rPr>
                  <w:t xml:space="preserve">Ef gerðar hafa verið breytingar umfram það, sbr. það frummat á áhrifum frumvarpsins sem áður var kynnt, hverjar eru þær og hver eru fjárhagsáhrifin? </w:t>
                </w:r>
              </w:p>
              <w:p w14:paraId="54BD5D6F" w14:textId="57543159" w:rsidR="002A148C" w:rsidRPr="00F85BF5" w:rsidRDefault="00F85BF5" w:rsidP="00F85BF5">
                <w:pPr>
                  <w:spacing w:before="60" w:after="60"/>
                  <w:ind w:left="360"/>
                  <w:jc w:val="both"/>
                  <w:rPr>
                    <w:rFonts w:ascii="Times New Roman" w:hAnsi="Times New Roman" w:cs="Times New Roman"/>
                    <w:b/>
                    <w:lang w:val="is-IS"/>
                  </w:rPr>
                </w:pPr>
                <w:r>
                  <w:rPr>
                    <w:rFonts w:ascii="Times New Roman" w:hAnsi="Times New Roman" w:cs="Times New Roman"/>
                    <w:bCs/>
                    <w:lang w:val="is-IS"/>
                  </w:rPr>
                  <w:t>Á ekki við.</w:t>
                </w:r>
              </w:p>
            </w:sdtContent>
          </w:sdt>
        </w:tc>
      </w:tr>
      <w:bookmarkEnd w:id="0"/>
    </w:tbl>
    <w:p w14:paraId="105D4BE2" w14:textId="6634E8ED" w:rsidR="00C67F4F" w:rsidRPr="00F62C2F" w:rsidRDefault="00C67F4F" w:rsidP="005C52DD">
      <w:pPr>
        <w:jc w:val="both"/>
        <w:rPr>
          <w:b/>
          <w:i/>
          <w:u w:val="single"/>
        </w:rPr>
      </w:pPr>
    </w:p>
    <w:sectPr w:rsidR="00C67F4F" w:rsidRPr="00F62C2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F77CE" w14:textId="77777777" w:rsidR="009D725D" w:rsidRDefault="009D725D" w:rsidP="009D725D">
      <w:pPr>
        <w:spacing w:after="0" w:line="240" w:lineRule="auto"/>
      </w:pPr>
      <w:r>
        <w:separator/>
      </w:r>
    </w:p>
  </w:endnote>
  <w:endnote w:type="continuationSeparator" w:id="0">
    <w:p w14:paraId="7859E381" w14:textId="77777777" w:rsidR="009D725D" w:rsidRDefault="009D725D" w:rsidP="009D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7670348"/>
      <w:docPartObj>
        <w:docPartGallery w:val="Page Numbers (Bottom of Page)"/>
        <w:docPartUnique/>
      </w:docPartObj>
    </w:sdtPr>
    <w:sdtEndPr/>
    <w:sdtContent>
      <w:p w14:paraId="51D09F18" w14:textId="43E9E41D" w:rsidR="00DD4DF2" w:rsidRPr="00DD4DF2" w:rsidRDefault="00DD4DF2">
        <w:pPr>
          <w:pStyle w:val="Footer"/>
          <w:jc w:val="center"/>
          <w:rPr>
            <w:rFonts w:ascii="Times New Roman" w:hAnsi="Times New Roman" w:cs="Times New Roman"/>
          </w:rPr>
        </w:pPr>
        <w:r w:rsidRPr="00DD4DF2">
          <w:rPr>
            <w:rFonts w:ascii="Times New Roman" w:hAnsi="Times New Roman" w:cs="Times New Roman"/>
          </w:rPr>
          <w:fldChar w:fldCharType="begin"/>
        </w:r>
        <w:r w:rsidRPr="00DD4DF2">
          <w:rPr>
            <w:rFonts w:ascii="Times New Roman" w:hAnsi="Times New Roman" w:cs="Times New Roman"/>
          </w:rPr>
          <w:instrText>PAGE   \* MERGEFORMAT</w:instrText>
        </w:r>
        <w:r w:rsidRPr="00DD4DF2">
          <w:rPr>
            <w:rFonts w:ascii="Times New Roman" w:hAnsi="Times New Roman" w:cs="Times New Roman"/>
          </w:rPr>
          <w:fldChar w:fldCharType="separate"/>
        </w:r>
        <w:r w:rsidRPr="00DD4DF2">
          <w:rPr>
            <w:rFonts w:ascii="Times New Roman" w:hAnsi="Times New Roman" w:cs="Times New Roman"/>
          </w:rPr>
          <w:t>2</w:t>
        </w:r>
        <w:r w:rsidRPr="00DD4DF2">
          <w:rPr>
            <w:rFonts w:ascii="Times New Roman" w:hAnsi="Times New Roman" w:cs="Times New Roman"/>
          </w:rPr>
          <w:fldChar w:fldCharType="end"/>
        </w:r>
      </w:p>
    </w:sdtContent>
  </w:sdt>
  <w:p w14:paraId="57C3D248" w14:textId="77777777" w:rsidR="00DD4DF2" w:rsidRPr="00DD4DF2" w:rsidRDefault="00DD4DF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ADFCF" w14:textId="77777777" w:rsidR="009D725D" w:rsidRDefault="009D725D" w:rsidP="009D725D">
      <w:pPr>
        <w:spacing w:after="0" w:line="240" w:lineRule="auto"/>
      </w:pPr>
      <w:r>
        <w:separator/>
      </w:r>
    </w:p>
  </w:footnote>
  <w:footnote w:type="continuationSeparator" w:id="0">
    <w:p w14:paraId="5285E71F" w14:textId="77777777" w:rsidR="009D725D" w:rsidRDefault="009D725D" w:rsidP="009D7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4"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92DC3"/>
    <w:multiLevelType w:val="hybridMultilevel"/>
    <w:tmpl w:val="9A9E410C"/>
    <w:lvl w:ilvl="0" w:tplc="040F0001">
      <w:start w:val="1"/>
      <w:numFmt w:val="bullet"/>
      <w:lvlText w:val=""/>
      <w:lvlJc w:val="left"/>
      <w:pPr>
        <w:ind w:left="1440" w:hanging="360"/>
      </w:pPr>
      <w:rPr>
        <w:rFonts w:ascii="Symbol" w:hAnsi="Symbol" w:hint="default"/>
      </w:rPr>
    </w:lvl>
    <w:lvl w:ilvl="1" w:tplc="040F0003">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6"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7"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8"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C0447A"/>
    <w:multiLevelType w:val="multilevel"/>
    <w:tmpl w:val="419EB09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3CE5886"/>
    <w:multiLevelType w:val="hybridMultilevel"/>
    <w:tmpl w:val="3E720C6E"/>
    <w:lvl w:ilvl="0" w:tplc="1A324B6A">
      <w:start w:val="1"/>
      <w:numFmt w:val="lowerLetter"/>
      <w:lvlText w:val="%1)"/>
      <w:lvlJc w:val="left"/>
      <w:pPr>
        <w:ind w:left="1080" w:hanging="360"/>
      </w:pPr>
      <w:rPr>
        <w:rFonts w:hint="default"/>
        <w:b w:val="0"/>
        <w:i/>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70DD0D02"/>
    <w:multiLevelType w:val="multilevel"/>
    <w:tmpl w:val="6EE0E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2"/>
  </w:num>
  <w:num w:numId="5">
    <w:abstractNumId w:val="12"/>
  </w:num>
  <w:num w:numId="6">
    <w:abstractNumId w:val="0"/>
  </w:num>
  <w:num w:numId="7">
    <w:abstractNumId w:val="6"/>
  </w:num>
  <w:num w:numId="8">
    <w:abstractNumId w:val="10"/>
  </w:num>
  <w:num w:numId="9">
    <w:abstractNumId w:val="3"/>
  </w:num>
  <w:num w:numId="10">
    <w:abstractNumId w:val="7"/>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8C"/>
    <w:rsid w:val="000019D5"/>
    <w:rsid w:val="00007F1A"/>
    <w:rsid w:val="0001347A"/>
    <w:rsid w:val="00021E64"/>
    <w:rsid w:val="00026CA0"/>
    <w:rsid w:val="00026EB8"/>
    <w:rsid w:val="00026F45"/>
    <w:rsid w:val="00035D03"/>
    <w:rsid w:val="00036159"/>
    <w:rsid w:val="000367F0"/>
    <w:rsid w:val="00040A92"/>
    <w:rsid w:val="00046773"/>
    <w:rsid w:val="00050DD9"/>
    <w:rsid w:val="00051646"/>
    <w:rsid w:val="00060B14"/>
    <w:rsid w:val="00060FF1"/>
    <w:rsid w:val="00062AAE"/>
    <w:rsid w:val="00062BB5"/>
    <w:rsid w:val="000828A6"/>
    <w:rsid w:val="00083E27"/>
    <w:rsid w:val="00091FFE"/>
    <w:rsid w:val="000926E1"/>
    <w:rsid w:val="0009271B"/>
    <w:rsid w:val="000956D0"/>
    <w:rsid w:val="00095A5A"/>
    <w:rsid w:val="000A1039"/>
    <w:rsid w:val="000A3495"/>
    <w:rsid w:val="000A64BF"/>
    <w:rsid w:val="000A79D4"/>
    <w:rsid w:val="000B1A97"/>
    <w:rsid w:val="000B1FD0"/>
    <w:rsid w:val="000B203C"/>
    <w:rsid w:val="000B4351"/>
    <w:rsid w:val="000B6380"/>
    <w:rsid w:val="000C04D3"/>
    <w:rsid w:val="000C2795"/>
    <w:rsid w:val="000C6F75"/>
    <w:rsid w:val="000D0E21"/>
    <w:rsid w:val="000D27AC"/>
    <w:rsid w:val="000D5919"/>
    <w:rsid w:val="000D6326"/>
    <w:rsid w:val="000F0568"/>
    <w:rsid w:val="000F71DF"/>
    <w:rsid w:val="00104BC0"/>
    <w:rsid w:val="00106155"/>
    <w:rsid w:val="00106EE4"/>
    <w:rsid w:val="00110B75"/>
    <w:rsid w:val="001132CC"/>
    <w:rsid w:val="00113AE0"/>
    <w:rsid w:val="0011571D"/>
    <w:rsid w:val="001167F6"/>
    <w:rsid w:val="00117B87"/>
    <w:rsid w:val="00117C73"/>
    <w:rsid w:val="001200E5"/>
    <w:rsid w:val="00121A98"/>
    <w:rsid w:val="00127BBF"/>
    <w:rsid w:val="0013426C"/>
    <w:rsid w:val="00134DF4"/>
    <w:rsid w:val="00136E70"/>
    <w:rsid w:val="001427A3"/>
    <w:rsid w:val="00142A05"/>
    <w:rsid w:val="00143632"/>
    <w:rsid w:val="00144081"/>
    <w:rsid w:val="0014430A"/>
    <w:rsid w:val="00145191"/>
    <w:rsid w:val="001453C8"/>
    <w:rsid w:val="001520F8"/>
    <w:rsid w:val="001559FB"/>
    <w:rsid w:val="00155EC3"/>
    <w:rsid w:val="00160D59"/>
    <w:rsid w:val="00171154"/>
    <w:rsid w:val="00173059"/>
    <w:rsid w:val="001730D4"/>
    <w:rsid w:val="00173FDA"/>
    <w:rsid w:val="0017576D"/>
    <w:rsid w:val="00176921"/>
    <w:rsid w:val="001877BA"/>
    <w:rsid w:val="00190E8A"/>
    <w:rsid w:val="00193897"/>
    <w:rsid w:val="001938E7"/>
    <w:rsid w:val="00193F44"/>
    <w:rsid w:val="0019542E"/>
    <w:rsid w:val="00196083"/>
    <w:rsid w:val="001A456A"/>
    <w:rsid w:val="001A6106"/>
    <w:rsid w:val="001A6604"/>
    <w:rsid w:val="001B3990"/>
    <w:rsid w:val="001B6EC0"/>
    <w:rsid w:val="001C03B0"/>
    <w:rsid w:val="001C0A3D"/>
    <w:rsid w:val="001C32C4"/>
    <w:rsid w:val="001C6D63"/>
    <w:rsid w:val="001C7E8A"/>
    <w:rsid w:val="001D40BC"/>
    <w:rsid w:val="001E0946"/>
    <w:rsid w:val="001E0C20"/>
    <w:rsid w:val="001E3482"/>
    <w:rsid w:val="001E358C"/>
    <w:rsid w:val="001E5CAD"/>
    <w:rsid w:val="001F1F7D"/>
    <w:rsid w:val="00202368"/>
    <w:rsid w:val="0020368B"/>
    <w:rsid w:val="00203910"/>
    <w:rsid w:val="00204CA9"/>
    <w:rsid w:val="00206491"/>
    <w:rsid w:val="002147CE"/>
    <w:rsid w:val="002157FA"/>
    <w:rsid w:val="0021676E"/>
    <w:rsid w:val="00217D06"/>
    <w:rsid w:val="002216AC"/>
    <w:rsid w:val="0022295B"/>
    <w:rsid w:val="002238EC"/>
    <w:rsid w:val="00232A80"/>
    <w:rsid w:val="00232F44"/>
    <w:rsid w:val="00234F47"/>
    <w:rsid w:val="002353AB"/>
    <w:rsid w:val="002362A5"/>
    <w:rsid w:val="00236908"/>
    <w:rsid w:val="00244370"/>
    <w:rsid w:val="0024751E"/>
    <w:rsid w:val="002528A2"/>
    <w:rsid w:val="0025392B"/>
    <w:rsid w:val="002543D3"/>
    <w:rsid w:val="00254D15"/>
    <w:rsid w:val="00256262"/>
    <w:rsid w:val="00262E5A"/>
    <w:rsid w:val="002640B1"/>
    <w:rsid w:val="002657E5"/>
    <w:rsid w:val="0026669A"/>
    <w:rsid w:val="00272B57"/>
    <w:rsid w:val="00276DED"/>
    <w:rsid w:val="00281FE6"/>
    <w:rsid w:val="00285991"/>
    <w:rsid w:val="00285EE4"/>
    <w:rsid w:val="002932F1"/>
    <w:rsid w:val="0029699C"/>
    <w:rsid w:val="00297E7D"/>
    <w:rsid w:val="002A148C"/>
    <w:rsid w:val="002A21B6"/>
    <w:rsid w:val="002A24BE"/>
    <w:rsid w:val="002A37CD"/>
    <w:rsid w:val="002A695F"/>
    <w:rsid w:val="002B3093"/>
    <w:rsid w:val="002B312C"/>
    <w:rsid w:val="002B4E48"/>
    <w:rsid w:val="002C22ED"/>
    <w:rsid w:val="002C2BF9"/>
    <w:rsid w:val="002C4622"/>
    <w:rsid w:val="002C497C"/>
    <w:rsid w:val="002C7B47"/>
    <w:rsid w:val="002D20FE"/>
    <w:rsid w:val="002D3434"/>
    <w:rsid w:val="002D4A5B"/>
    <w:rsid w:val="002D6F91"/>
    <w:rsid w:val="002E0C5D"/>
    <w:rsid w:val="002E27A6"/>
    <w:rsid w:val="002E34B6"/>
    <w:rsid w:val="002E37C1"/>
    <w:rsid w:val="002E4121"/>
    <w:rsid w:val="002E6EF3"/>
    <w:rsid w:val="002F0D5C"/>
    <w:rsid w:val="002F12BB"/>
    <w:rsid w:val="002F184E"/>
    <w:rsid w:val="002F37BC"/>
    <w:rsid w:val="002F4684"/>
    <w:rsid w:val="00304306"/>
    <w:rsid w:val="00312431"/>
    <w:rsid w:val="00313F18"/>
    <w:rsid w:val="003205CB"/>
    <w:rsid w:val="00320677"/>
    <w:rsid w:val="003214F8"/>
    <w:rsid w:val="00322261"/>
    <w:rsid w:val="00325EEA"/>
    <w:rsid w:val="003315CA"/>
    <w:rsid w:val="00333E56"/>
    <w:rsid w:val="003367D3"/>
    <w:rsid w:val="003404BE"/>
    <w:rsid w:val="00341C96"/>
    <w:rsid w:val="00343244"/>
    <w:rsid w:val="00347A5B"/>
    <w:rsid w:val="00350127"/>
    <w:rsid w:val="00350890"/>
    <w:rsid w:val="00353365"/>
    <w:rsid w:val="0035578D"/>
    <w:rsid w:val="00355A39"/>
    <w:rsid w:val="00355BC9"/>
    <w:rsid w:val="00357491"/>
    <w:rsid w:val="00362EEC"/>
    <w:rsid w:val="00365F98"/>
    <w:rsid w:val="00370BA7"/>
    <w:rsid w:val="00370EE9"/>
    <w:rsid w:val="00371044"/>
    <w:rsid w:val="003841EA"/>
    <w:rsid w:val="0038599A"/>
    <w:rsid w:val="00386B49"/>
    <w:rsid w:val="00387AF4"/>
    <w:rsid w:val="00395B20"/>
    <w:rsid w:val="00396281"/>
    <w:rsid w:val="003A507A"/>
    <w:rsid w:val="003A6030"/>
    <w:rsid w:val="003B13E7"/>
    <w:rsid w:val="003B2F1E"/>
    <w:rsid w:val="003B3620"/>
    <w:rsid w:val="003C0950"/>
    <w:rsid w:val="003C097C"/>
    <w:rsid w:val="003C59CD"/>
    <w:rsid w:val="003C66E5"/>
    <w:rsid w:val="003C70CD"/>
    <w:rsid w:val="003D083A"/>
    <w:rsid w:val="003D57E8"/>
    <w:rsid w:val="003E7E63"/>
    <w:rsid w:val="003F10AD"/>
    <w:rsid w:val="003F1605"/>
    <w:rsid w:val="003F2A9F"/>
    <w:rsid w:val="003F39A7"/>
    <w:rsid w:val="004051CA"/>
    <w:rsid w:val="00410003"/>
    <w:rsid w:val="00410D44"/>
    <w:rsid w:val="004121A2"/>
    <w:rsid w:val="004130ED"/>
    <w:rsid w:val="0041326D"/>
    <w:rsid w:val="004138E1"/>
    <w:rsid w:val="00415D6E"/>
    <w:rsid w:val="0041733C"/>
    <w:rsid w:val="00417A6F"/>
    <w:rsid w:val="0042146D"/>
    <w:rsid w:val="004226F6"/>
    <w:rsid w:val="00422E64"/>
    <w:rsid w:val="00426CA3"/>
    <w:rsid w:val="004326D8"/>
    <w:rsid w:val="00435E94"/>
    <w:rsid w:val="00436A1A"/>
    <w:rsid w:val="00436C10"/>
    <w:rsid w:val="004379A0"/>
    <w:rsid w:val="004438D0"/>
    <w:rsid w:val="004443D6"/>
    <w:rsid w:val="00447A54"/>
    <w:rsid w:val="004533A6"/>
    <w:rsid w:val="00456A71"/>
    <w:rsid w:val="00457179"/>
    <w:rsid w:val="00457942"/>
    <w:rsid w:val="00457D88"/>
    <w:rsid w:val="00464C77"/>
    <w:rsid w:val="00467D4F"/>
    <w:rsid w:val="00470C56"/>
    <w:rsid w:val="004816AE"/>
    <w:rsid w:val="00484305"/>
    <w:rsid w:val="00484F56"/>
    <w:rsid w:val="00497287"/>
    <w:rsid w:val="004A1AFA"/>
    <w:rsid w:val="004A522C"/>
    <w:rsid w:val="004B091D"/>
    <w:rsid w:val="004B0CEA"/>
    <w:rsid w:val="004B35F4"/>
    <w:rsid w:val="004B3EBE"/>
    <w:rsid w:val="004B7D5B"/>
    <w:rsid w:val="004C3E25"/>
    <w:rsid w:val="004C6175"/>
    <w:rsid w:val="004D5EDC"/>
    <w:rsid w:val="004D7195"/>
    <w:rsid w:val="004F0D1B"/>
    <w:rsid w:val="004F3675"/>
    <w:rsid w:val="005007E1"/>
    <w:rsid w:val="005025B5"/>
    <w:rsid w:val="00503F03"/>
    <w:rsid w:val="00511CBE"/>
    <w:rsid w:val="00513E8C"/>
    <w:rsid w:val="00520F72"/>
    <w:rsid w:val="00525249"/>
    <w:rsid w:val="00526370"/>
    <w:rsid w:val="00526D4D"/>
    <w:rsid w:val="00541726"/>
    <w:rsid w:val="0054274D"/>
    <w:rsid w:val="00542A18"/>
    <w:rsid w:val="00543709"/>
    <w:rsid w:val="005445FC"/>
    <w:rsid w:val="0054633B"/>
    <w:rsid w:val="00550FFC"/>
    <w:rsid w:val="005514D4"/>
    <w:rsid w:val="0055709E"/>
    <w:rsid w:val="00560F5C"/>
    <w:rsid w:val="005611EC"/>
    <w:rsid w:val="00562CC9"/>
    <w:rsid w:val="00572F6C"/>
    <w:rsid w:val="0057613C"/>
    <w:rsid w:val="00576A60"/>
    <w:rsid w:val="00582679"/>
    <w:rsid w:val="00590559"/>
    <w:rsid w:val="00590E74"/>
    <w:rsid w:val="00594AC3"/>
    <w:rsid w:val="00595F60"/>
    <w:rsid w:val="005A126C"/>
    <w:rsid w:val="005A41C3"/>
    <w:rsid w:val="005A44F1"/>
    <w:rsid w:val="005A7630"/>
    <w:rsid w:val="005A7CFE"/>
    <w:rsid w:val="005B33BD"/>
    <w:rsid w:val="005B6941"/>
    <w:rsid w:val="005C0CD8"/>
    <w:rsid w:val="005C299F"/>
    <w:rsid w:val="005C52DD"/>
    <w:rsid w:val="005D0741"/>
    <w:rsid w:val="005D14C3"/>
    <w:rsid w:val="005D1BDC"/>
    <w:rsid w:val="005D5EDC"/>
    <w:rsid w:val="005D6F44"/>
    <w:rsid w:val="005D7BB0"/>
    <w:rsid w:val="005E023C"/>
    <w:rsid w:val="005E2162"/>
    <w:rsid w:val="005E6FAC"/>
    <w:rsid w:val="005E7A3F"/>
    <w:rsid w:val="005F062C"/>
    <w:rsid w:val="005F09FA"/>
    <w:rsid w:val="005F2E26"/>
    <w:rsid w:val="005F59E5"/>
    <w:rsid w:val="006017C8"/>
    <w:rsid w:val="00603D0A"/>
    <w:rsid w:val="00607CEA"/>
    <w:rsid w:val="006141E8"/>
    <w:rsid w:val="00617360"/>
    <w:rsid w:val="006248E2"/>
    <w:rsid w:val="00627561"/>
    <w:rsid w:val="00635687"/>
    <w:rsid w:val="006362C2"/>
    <w:rsid w:val="00653B36"/>
    <w:rsid w:val="00664B32"/>
    <w:rsid w:val="00670919"/>
    <w:rsid w:val="00670CEE"/>
    <w:rsid w:val="00674AC7"/>
    <w:rsid w:val="00686078"/>
    <w:rsid w:val="00687DCA"/>
    <w:rsid w:val="0069093C"/>
    <w:rsid w:val="006912B7"/>
    <w:rsid w:val="00692122"/>
    <w:rsid w:val="0069461B"/>
    <w:rsid w:val="006958C5"/>
    <w:rsid w:val="006A2D08"/>
    <w:rsid w:val="006A5468"/>
    <w:rsid w:val="006A5943"/>
    <w:rsid w:val="006A5BED"/>
    <w:rsid w:val="006B1ECE"/>
    <w:rsid w:val="006B2725"/>
    <w:rsid w:val="006B2E63"/>
    <w:rsid w:val="006B4F82"/>
    <w:rsid w:val="006D08F0"/>
    <w:rsid w:val="006D173A"/>
    <w:rsid w:val="006E07D5"/>
    <w:rsid w:val="006E0A7D"/>
    <w:rsid w:val="006E0C70"/>
    <w:rsid w:val="006E63A7"/>
    <w:rsid w:val="006F0DDC"/>
    <w:rsid w:val="006F18A4"/>
    <w:rsid w:val="007022D8"/>
    <w:rsid w:val="00703E43"/>
    <w:rsid w:val="007041E4"/>
    <w:rsid w:val="007049A9"/>
    <w:rsid w:val="007059B1"/>
    <w:rsid w:val="0071146C"/>
    <w:rsid w:val="007123DB"/>
    <w:rsid w:val="00714EC6"/>
    <w:rsid w:val="007154E8"/>
    <w:rsid w:val="007155C0"/>
    <w:rsid w:val="00715E96"/>
    <w:rsid w:val="0072460D"/>
    <w:rsid w:val="0072523B"/>
    <w:rsid w:val="00727E08"/>
    <w:rsid w:val="00730608"/>
    <w:rsid w:val="00734146"/>
    <w:rsid w:val="0073657E"/>
    <w:rsid w:val="00736979"/>
    <w:rsid w:val="007417A5"/>
    <w:rsid w:val="00746B1A"/>
    <w:rsid w:val="00747551"/>
    <w:rsid w:val="007532E6"/>
    <w:rsid w:val="00753F5B"/>
    <w:rsid w:val="007555D2"/>
    <w:rsid w:val="00756A7F"/>
    <w:rsid w:val="0076066A"/>
    <w:rsid w:val="007620F5"/>
    <w:rsid w:val="00762B6F"/>
    <w:rsid w:val="007710E6"/>
    <w:rsid w:val="007718B6"/>
    <w:rsid w:val="00775CF5"/>
    <w:rsid w:val="00780893"/>
    <w:rsid w:val="00781424"/>
    <w:rsid w:val="0079085A"/>
    <w:rsid w:val="007938E9"/>
    <w:rsid w:val="007A1EF5"/>
    <w:rsid w:val="007A2571"/>
    <w:rsid w:val="007A2685"/>
    <w:rsid w:val="007A5DA2"/>
    <w:rsid w:val="007A6488"/>
    <w:rsid w:val="007C0A08"/>
    <w:rsid w:val="007C25CE"/>
    <w:rsid w:val="007C25D4"/>
    <w:rsid w:val="007D3233"/>
    <w:rsid w:val="007D792F"/>
    <w:rsid w:val="007E15AC"/>
    <w:rsid w:val="007E1E28"/>
    <w:rsid w:val="007E23EA"/>
    <w:rsid w:val="007E4D01"/>
    <w:rsid w:val="007F0686"/>
    <w:rsid w:val="007F1509"/>
    <w:rsid w:val="007F1B75"/>
    <w:rsid w:val="00802CDF"/>
    <w:rsid w:val="00816A76"/>
    <w:rsid w:val="008205FE"/>
    <w:rsid w:val="00820913"/>
    <w:rsid w:val="0082338D"/>
    <w:rsid w:val="00823B06"/>
    <w:rsid w:val="00825757"/>
    <w:rsid w:val="0083426B"/>
    <w:rsid w:val="00841423"/>
    <w:rsid w:val="00850B6C"/>
    <w:rsid w:val="008537D9"/>
    <w:rsid w:val="008565A0"/>
    <w:rsid w:val="008574DD"/>
    <w:rsid w:val="00857C2E"/>
    <w:rsid w:val="008612CC"/>
    <w:rsid w:val="00863006"/>
    <w:rsid w:val="0086420F"/>
    <w:rsid w:val="0086677C"/>
    <w:rsid w:val="00871488"/>
    <w:rsid w:val="008722E5"/>
    <w:rsid w:val="00876806"/>
    <w:rsid w:val="008923EB"/>
    <w:rsid w:val="008962AA"/>
    <w:rsid w:val="00896986"/>
    <w:rsid w:val="00897978"/>
    <w:rsid w:val="00897A4E"/>
    <w:rsid w:val="008A5A45"/>
    <w:rsid w:val="008A6091"/>
    <w:rsid w:val="008A683B"/>
    <w:rsid w:val="008B1A66"/>
    <w:rsid w:val="008B6021"/>
    <w:rsid w:val="008C00CC"/>
    <w:rsid w:val="008C573A"/>
    <w:rsid w:val="008D00F4"/>
    <w:rsid w:val="008D0C7E"/>
    <w:rsid w:val="008D29F7"/>
    <w:rsid w:val="008D63A4"/>
    <w:rsid w:val="008D676C"/>
    <w:rsid w:val="008E4ACE"/>
    <w:rsid w:val="008E5542"/>
    <w:rsid w:val="008F098B"/>
    <w:rsid w:val="0090049E"/>
    <w:rsid w:val="00902B8D"/>
    <w:rsid w:val="009041AA"/>
    <w:rsid w:val="009064BE"/>
    <w:rsid w:val="00907CFD"/>
    <w:rsid w:val="009105EB"/>
    <w:rsid w:val="009117E7"/>
    <w:rsid w:val="009125BC"/>
    <w:rsid w:val="00913E2F"/>
    <w:rsid w:val="0091402E"/>
    <w:rsid w:val="00915BDF"/>
    <w:rsid w:val="0092729A"/>
    <w:rsid w:val="009300B6"/>
    <w:rsid w:val="00933F45"/>
    <w:rsid w:val="009363A0"/>
    <w:rsid w:val="00937D36"/>
    <w:rsid w:val="00942103"/>
    <w:rsid w:val="00944234"/>
    <w:rsid w:val="00954E5A"/>
    <w:rsid w:val="00956C2A"/>
    <w:rsid w:val="00956CD4"/>
    <w:rsid w:val="00964983"/>
    <w:rsid w:val="0097101A"/>
    <w:rsid w:val="00971480"/>
    <w:rsid w:val="009748B8"/>
    <w:rsid w:val="009751CF"/>
    <w:rsid w:val="00977527"/>
    <w:rsid w:val="0098232A"/>
    <w:rsid w:val="009827E4"/>
    <w:rsid w:val="00986153"/>
    <w:rsid w:val="00993DF8"/>
    <w:rsid w:val="009A5197"/>
    <w:rsid w:val="009A561D"/>
    <w:rsid w:val="009A5CD8"/>
    <w:rsid w:val="009A774B"/>
    <w:rsid w:val="009B0A6B"/>
    <w:rsid w:val="009B1FE3"/>
    <w:rsid w:val="009B4BD8"/>
    <w:rsid w:val="009C0979"/>
    <w:rsid w:val="009C150D"/>
    <w:rsid w:val="009C4225"/>
    <w:rsid w:val="009C5BCD"/>
    <w:rsid w:val="009D11E9"/>
    <w:rsid w:val="009D725D"/>
    <w:rsid w:val="009D7D5B"/>
    <w:rsid w:val="009E3206"/>
    <w:rsid w:val="009E384A"/>
    <w:rsid w:val="009E5373"/>
    <w:rsid w:val="00A00F2D"/>
    <w:rsid w:val="00A06DEB"/>
    <w:rsid w:val="00A13662"/>
    <w:rsid w:val="00A16F2C"/>
    <w:rsid w:val="00A1773C"/>
    <w:rsid w:val="00A21F11"/>
    <w:rsid w:val="00A34CEA"/>
    <w:rsid w:val="00A35777"/>
    <w:rsid w:val="00A35DCE"/>
    <w:rsid w:val="00A410A5"/>
    <w:rsid w:val="00A42AC2"/>
    <w:rsid w:val="00A4368B"/>
    <w:rsid w:val="00A43BBC"/>
    <w:rsid w:val="00A60944"/>
    <w:rsid w:val="00A609BC"/>
    <w:rsid w:val="00A61B32"/>
    <w:rsid w:val="00A75E89"/>
    <w:rsid w:val="00A80B35"/>
    <w:rsid w:val="00A9227F"/>
    <w:rsid w:val="00A923A1"/>
    <w:rsid w:val="00A92AEB"/>
    <w:rsid w:val="00A9515B"/>
    <w:rsid w:val="00A95344"/>
    <w:rsid w:val="00A971C4"/>
    <w:rsid w:val="00AA3503"/>
    <w:rsid w:val="00AA6C21"/>
    <w:rsid w:val="00AB18E1"/>
    <w:rsid w:val="00AB2C28"/>
    <w:rsid w:val="00AB2F02"/>
    <w:rsid w:val="00AC2DC7"/>
    <w:rsid w:val="00AC4709"/>
    <w:rsid w:val="00AD17B7"/>
    <w:rsid w:val="00AD54B2"/>
    <w:rsid w:val="00AD617D"/>
    <w:rsid w:val="00AE17C8"/>
    <w:rsid w:val="00AE3C7F"/>
    <w:rsid w:val="00AE420D"/>
    <w:rsid w:val="00AF2AA9"/>
    <w:rsid w:val="00AF739E"/>
    <w:rsid w:val="00B01255"/>
    <w:rsid w:val="00B013F6"/>
    <w:rsid w:val="00B052BD"/>
    <w:rsid w:val="00B0778B"/>
    <w:rsid w:val="00B20F62"/>
    <w:rsid w:val="00B2196B"/>
    <w:rsid w:val="00B33DCB"/>
    <w:rsid w:val="00B517E6"/>
    <w:rsid w:val="00B55B8B"/>
    <w:rsid w:val="00B605BC"/>
    <w:rsid w:val="00B70CA2"/>
    <w:rsid w:val="00B7238A"/>
    <w:rsid w:val="00B7330A"/>
    <w:rsid w:val="00B7632D"/>
    <w:rsid w:val="00B82D6E"/>
    <w:rsid w:val="00B84198"/>
    <w:rsid w:val="00B8762F"/>
    <w:rsid w:val="00B87C92"/>
    <w:rsid w:val="00B87D46"/>
    <w:rsid w:val="00B913AE"/>
    <w:rsid w:val="00B91753"/>
    <w:rsid w:val="00BA1D6E"/>
    <w:rsid w:val="00BA2DB9"/>
    <w:rsid w:val="00BA4E37"/>
    <w:rsid w:val="00BA6F26"/>
    <w:rsid w:val="00BB1676"/>
    <w:rsid w:val="00BB4A73"/>
    <w:rsid w:val="00BC7231"/>
    <w:rsid w:val="00BC7EDC"/>
    <w:rsid w:val="00BD034F"/>
    <w:rsid w:val="00BD275E"/>
    <w:rsid w:val="00BD4946"/>
    <w:rsid w:val="00BD6B85"/>
    <w:rsid w:val="00BF2A71"/>
    <w:rsid w:val="00BF3E24"/>
    <w:rsid w:val="00BF3F61"/>
    <w:rsid w:val="00BF4185"/>
    <w:rsid w:val="00BF485E"/>
    <w:rsid w:val="00BF544D"/>
    <w:rsid w:val="00BF6DCE"/>
    <w:rsid w:val="00C01675"/>
    <w:rsid w:val="00C01DB1"/>
    <w:rsid w:val="00C01F1A"/>
    <w:rsid w:val="00C03B98"/>
    <w:rsid w:val="00C04D2C"/>
    <w:rsid w:val="00C06D11"/>
    <w:rsid w:val="00C11DFD"/>
    <w:rsid w:val="00C1528C"/>
    <w:rsid w:val="00C17E1E"/>
    <w:rsid w:val="00C21EFE"/>
    <w:rsid w:val="00C24BA2"/>
    <w:rsid w:val="00C36F12"/>
    <w:rsid w:val="00C411CA"/>
    <w:rsid w:val="00C41E4D"/>
    <w:rsid w:val="00C44B47"/>
    <w:rsid w:val="00C458BC"/>
    <w:rsid w:val="00C462BC"/>
    <w:rsid w:val="00C53C29"/>
    <w:rsid w:val="00C55611"/>
    <w:rsid w:val="00C6209A"/>
    <w:rsid w:val="00C65003"/>
    <w:rsid w:val="00C668E5"/>
    <w:rsid w:val="00C67F4F"/>
    <w:rsid w:val="00C720D9"/>
    <w:rsid w:val="00C72434"/>
    <w:rsid w:val="00C74850"/>
    <w:rsid w:val="00C751A2"/>
    <w:rsid w:val="00C76DA9"/>
    <w:rsid w:val="00C81C03"/>
    <w:rsid w:val="00C84E42"/>
    <w:rsid w:val="00C86EE7"/>
    <w:rsid w:val="00C90116"/>
    <w:rsid w:val="00C97D92"/>
    <w:rsid w:val="00CA2C17"/>
    <w:rsid w:val="00CA6EEF"/>
    <w:rsid w:val="00CA7E1B"/>
    <w:rsid w:val="00CB0480"/>
    <w:rsid w:val="00CB335D"/>
    <w:rsid w:val="00CB5231"/>
    <w:rsid w:val="00CC3AAC"/>
    <w:rsid w:val="00CC4FF4"/>
    <w:rsid w:val="00CD0D61"/>
    <w:rsid w:val="00CD32E4"/>
    <w:rsid w:val="00CD335C"/>
    <w:rsid w:val="00CD3E1C"/>
    <w:rsid w:val="00CD4B9D"/>
    <w:rsid w:val="00CD6CA4"/>
    <w:rsid w:val="00CD7BB5"/>
    <w:rsid w:val="00CF04C1"/>
    <w:rsid w:val="00CF39DF"/>
    <w:rsid w:val="00CF507C"/>
    <w:rsid w:val="00CF5101"/>
    <w:rsid w:val="00CF6E8F"/>
    <w:rsid w:val="00D0386F"/>
    <w:rsid w:val="00D03C24"/>
    <w:rsid w:val="00D06A16"/>
    <w:rsid w:val="00D06F48"/>
    <w:rsid w:val="00D07D1A"/>
    <w:rsid w:val="00D10D66"/>
    <w:rsid w:val="00D1592C"/>
    <w:rsid w:val="00D17326"/>
    <w:rsid w:val="00D20386"/>
    <w:rsid w:val="00D21E28"/>
    <w:rsid w:val="00D2256D"/>
    <w:rsid w:val="00D22F9B"/>
    <w:rsid w:val="00D231B4"/>
    <w:rsid w:val="00D23558"/>
    <w:rsid w:val="00D27F99"/>
    <w:rsid w:val="00D33DF6"/>
    <w:rsid w:val="00D36A0C"/>
    <w:rsid w:val="00D4404C"/>
    <w:rsid w:val="00D4434C"/>
    <w:rsid w:val="00D444B6"/>
    <w:rsid w:val="00D446F6"/>
    <w:rsid w:val="00D45549"/>
    <w:rsid w:val="00D45E46"/>
    <w:rsid w:val="00D50E9A"/>
    <w:rsid w:val="00D5331A"/>
    <w:rsid w:val="00D61FA5"/>
    <w:rsid w:val="00D6313C"/>
    <w:rsid w:val="00D6371E"/>
    <w:rsid w:val="00D66D33"/>
    <w:rsid w:val="00D66EB6"/>
    <w:rsid w:val="00D73B8D"/>
    <w:rsid w:val="00D76380"/>
    <w:rsid w:val="00D76F02"/>
    <w:rsid w:val="00D7785A"/>
    <w:rsid w:val="00D80619"/>
    <w:rsid w:val="00D8159E"/>
    <w:rsid w:val="00D847C9"/>
    <w:rsid w:val="00D84B45"/>
    <w:rsid w:val="00D85A32"/>
    <w:rsid w:val="00D865ED"/>
    <w:rsid w:val="00D91A0E"/>
    <w:rsid w:val="00DA0D7E"/>
    <w:rsid w:val="00DA1EC6"/>
    <w:rsid w:val="00DA6628"/>
    <w:rsid w:val="00DA7DDB"/>
    <w:rsid w:val="00DB2325"/>
    <w:rsid w:val="00DB7FD6"/>
    <w:rsid w:val="00DC1CEB"/>
    <w:rsid w:val="00DC5545"/>
    <w:rsid w:val="00DC563A"/>
    <w:rsid w:val="00DC6531"/>
    <w:rsid w:val="00DC708A"/>
    <w:rsid w:val="00DD206F"/>
    <w:rsid w:val="00DD2347"/>
    <w:rsid w:val="00DD4D62"/>
    <w:rsid w:val="00DD4DF2"/>
    <w:rsid w:val="00DD5B3B"/>
    <w:rsid w:val="00DD689B"/>
    <w:rsid w:val="00DD6952"/>
    <w:rsid w:val="00DE24C1"/>
    <w:rsid w:val="00DE6323"/>
    <w:rsid w:val="00DF3648"/>
    <w:rsid w:val="00DF4FE2"/>
    <w:rsid w:val="00DF7316"/>
    <w:rsid w:val="00E0031D"/>
    <w:rsid w:val="00E036B4"/>
    <w:rsid w:val="00E03993"/>
    <w:rsid w:val="00E06F93"/>
    <w:rsid w:val="00E07A10"/>
    <w:rsid w:val="00E12B4F"/>
    <w:rsid w:val="00E21BDA"/>
    <w:rsid w:val="00E2658E"/>
    <w:rsid w:val="00E32C84"/>
    <w:rsid w:val="00E33B25"/>
    <w:rsid w:val="00E34126"/>
    <w:rsid w:val="00E37782"/>
    <w:rsid w:val="00E40D2D"/>
    <w:rsid w:val="00E43A8C"/>
    <w:rsid w:val="00E46B09"/>
    <w:rsid w:val="00E50401"/>
    <w:rsid w:val="00E51002"/>
    <w:rsid w:val="00E51959"/>
    <w:rsid w:val="00E5360D"/>
    <w:rsid w:val="00E60E5C"/>
    <w:rsid w:val="00E63DAB"/>
    <w:rsid w:val="00E643BF"/>
    <w:rsid w:val="00E70492"/>
    <w:rsid w:val="00E76F78"/>
    <w:rsid w:val="00E8768E"/>
    <w:rsid w:val="00E8783C"/>
    <w:rsid w:val="00E87DD8"/>
    <w:rsid w:val="00E90924"/>
    <w:rsid w:val="00E915FD"/>
    <w:rsid w:val="00E94D61"/>
    <w:rsid w:val="00E973AC"/>
    <w:rsid w:val="00EA119D"/>
    <w:rsid w:val="00EA191D"/>
    <w:rsid w:val="00EB18DD"/>
    <w:rsid w:val="00EB356F"/>
    <w:rsid w:val="00EB3B9F"/>
    <w:rsid w:val="00EB547D"/>
    <w:rsid w:val="00EC014C"/>
    <w:rsid w:val="00EC391A"/>
    <w:rsid w:val="00EC4148"/>
    <w:rsid w:val="00EC70FC"/>
    <w:rsid w:val="00ED3FDD"/>
    <w:rsid w:val="00ED75FE"/>
    <w:rsid w:val="00EE1B63"/>
    <w:rsid w:val="00EE3B91"/>
    <w:rsid w:val="00EE4744"/>
    <w:rsid w:val="00EE52CC"/>
    <w:rsid w:val="00EF288C"/>
    <w:rsid w:val="00EF2E64"/>
    <w:rsid w:val="00EF687D"/>
    <w:rsid w:val="00EF72A6"/>
    <w:rsid w:val="00EF7B53"/>
    <w:rsid w:val="00F05EE3"/>
    <w:rsid w:val="00F06640"/>
    <w:rsid w:val="00F07A75"/>
    <w:rsid w:val="00F137B9"/>
    <w:rsid w:val="00F144AF"/>
    <w:rsid w:val="00F164B4"/>
    <w:rsid w:val="00F165C3"/>
    <w:rsid w:val="00F21836"/>
    <w:rsid w:val="00F21B9A"/>
    <w:rsid w:val="00F22D0D"/>
    <w:rsid w:val="00F236B4"/>
    <w:rsid w:val="00F24489"/>
    <w:rsid w:val="00F3001D"/>
    <w:rsid w:val="00F308F9"/>
    <w:rsid w:val="00F31B1F"/>
    <w:rsid w:val="00F334C0"/>
    <w:rsid w:val="00F37552"/>
    <w:rsid w:val="00F37C1B"/>
    <w:rsid w:val="00F404D2"/>
    <w:rsid w:val="00F40939"/>
    <w:rsid w:val="00F413FD"/>
    <w:rsid w:val="00F47886"/>
    <w:rsid w:val="00F47DEC"/>
    <w:rsid w:val="00F57FE8"/>
    <w:rsid w:val="00F607A2"/>
    <w:rsid w:val="00F615D7"/>
    <w:rsid w:val="00F62C2F"/>
    <w:rsid w:val="00F62E21"/>
    <w:rsid w:val="00F66ED4"/>
    <w:rsid w:val="00F70807"/>
    <w:rsid w:val="00F71F72"/>
    <w:rsid w:val="00F766CE"/>
    <w:rsid w:val="00F81CC1"/>
    <w:rsid w:val="00F83545"/>
    <w:rsid w:val="00F85775"/>
    <w:rsid w:val="00F85BF5"/>
    <w:rsid w:val="00F909CB"/>
    <w:rsid w:val="00F92FF7"/>
    <w:rsid w:val="00F9452E"/>
    <w:rsid w:val="00F96C24"/>
    <w:rsid w:val="00FA14FD"/>
    <w:rsid w:val="00FA1FDC"/>
    <w:rsid w:val="00FA25DD"/>
    <w:rsid w:val="00FA307E"/>
    <w:rsid w:val="00FA68A4"/>
    <w:rsid w:val="00FB1C0B"/>
    <w:rsid w:val="00FB4374"/>
    <w:rsid w:val="00FC4CBC"/>
    <w:rsid w:val="00FC6029"/>
    <w:rsid w:val="00FC6124"/>
    <w:rsid w:val="00FC7841"/>
    <w:rsid w:val="00FD7720"/>
    <w:rsid w:val="00FD79EB"/>
    <w:rsid w:val="00FE2DAF"/>
    <w:rsid w:val="00FE4A75"/>
    <w:rsid w:val="00FE694E"/>
    <w:rsid w:val="00FF3EC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4A63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4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48C"/>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FC6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124"/>
    <w:rPr>
      <w:rFonts w:ascii="Segoe UI" w:hAnsi="Segoe UI" w:cs="Segoe UI"/>
      <w:sz w:val="18"/>
      <w:szCs w:val="18"/>
    </w:rPr>
  </w:style>
  <w:style w:type="paragraph" w:styleId="FootnoteText">
    <w:name w:val="footnote text"/>
    <w:basedOn w:val="Normal"/>
    <w:link w:val="FootnoteTextChar"/>
    <w:uiPriority w:val="99"/>
    <w:semiHidden/>
    <w:unhideWhenUsed/>
    <w:rsid w:val="009D7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25D"/>
    <w:rPr>
      <w:sz w:val="20"/>
      <w:szCs w:val="20"/>
    </w:rPr>
  </w:style>
  <w:style w:type="character" w:styleId="FootnoteReference">
    <w:name w:val="footnote reference"/>
    <w:basedOn w:val="DefaultParagraphFont"/>
    <w:uiPriority w:val="99"/>
    <w:semiHidden/>
    <w:unhideWhenUsed/>
    <w:rsid w:val="009D725D"/>
    <w:rPr>
      <w:vertAlign w:val="superscript"/>
    </w:rPr>
  </w:style>
  <w:style w:type="character" w:styleId="Hyperlink">
    <w:name w:val="Hyperlink"/>
    <w:basedOn w:val="DefaultParagraphFont"/>
    <w:uiPriority w:val="99"/>
    <w:unhideWhenUsed/>
    <w:rsid w:val="009D725D"/>
    <w:rPr>
      <w:color w:val="0563C1" w:themeColor="hyperlink"/>
      <w:u w:val="single"/>
    </w:rPr>
  </w:style>
  <w:style w:type="character" w:styleId="UnresolvedMention">
    <w:name w:val="Unresolved Mention"/>
    <w:basedOn w:val="DefaultParagraphFont"/>
    <w:uiPriority w:val="99"/>
    <w:semiHidden/>
    <w:unhideWhenUsed/>
    <w:rsid w:val="009D725D"/>
    <w:rPr>
      <w:color w:val="605E5C"/>
      <w:shd w:val="clear" w:color="auto" w:fill="E1DFDD"/>
    </w:rPr>
  </w:style>
  <w:style w:type="character" w:styleId="FollowedHyperlink">
    <w:name w:val="FollowedHyperlink"/>
    <w:basedOn w:val="DefaultParagraphFont"/>
    <w:uiPriority w:val="99"/>
    <w:semiHidden/>
    <w:unhideWhenUsed/>
    <w:rsid w:val="00D7785A"/>
    <w:rPr>
      <w:color w:val="954F72" w:themeColor="followedHyperlink"/>
      <w:u w:val="single"/>
    </w:rPr>
  </w:style>
  <w:style w:type="paragraph" w:styleId="Header">
    <w:name w:val="header"/>
    <w:basedOn w:val="Normal"/>
    <w:link w:val="HeaderChar"/>
    <w:uiPriority w:val="99"/>
    <w:unhideWhenUsed/>
    <w:rsid w:val="00AA6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C21"/>
  </w:style>
  <w:style w:type="paragraph" w:styleId="Footer">
    <w:name w:val="footer"/>
    <w:basedOn w:val="Normal"/>
    <w:link w:val="FooterChar"/>
    <w:uiPriority w:val="99"/>
    <w:unhideWhenUsed/>
    <w:rsid w:val="00AA6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C21"/>
  </w:style>
  <w:style w:type="character" w:styleId="Strong">
    <w:name w:val="Strong"/>
    <w:basedOn w:val="DefaultParagraphFont"/>
    <w:uiPriority w:val="22"/>
    <w:qFormat/>
    <w:rsid w:val="00D44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4751">
      <w:bodyDiv w:val="1"/>
      <w:marLeft w:val="0"/>
      <w:marRight w:val="0"/>
      <w:marTop w:val="0"/>
      <w:marBottom w:val="0"/>
      <w:divBdr>
        <w:top w:val="none" w:sz="0" w:space="0" w:color="auto"/>
        <w:left w:val="none" w:sz="0" w:space="0" w:color="auto"/>
        <w:bottom w:val="none" w:sz="0" w:space="0" w:color="auto"/>
        <w:right w:val="none" w:sz="0" w:space="0" w:color="auto"/>
      </w:divBdr>
    </w:div>
    <w:div w:id="249389949">
      <w:bodyDiv w:val="1"/>
      <w:marLeft w:val="0"/>
      <w:marRight w:val="0"/>
      <w:marTop w:val="0"/>
      <w:marBottom w:val="0"/>
      <w:divBdr>
        <w:top w:val="none" w:sz="0" w:space="0" w:color="auto"/>
        <w:left w:val="none" w:sz="0" w:space="0" w:color="auto"/>
        <w:bottom w:val="none" w:sz="0" w:space="0" w:color="auto"/>
        <w:right w:val="none" w:sz="0" w:space="0" w:color="auto"/>
      </w:divBdr>
    </w:div>
    <w:div w:id="258030671">
      <w:bodyDiv w:val="1"/>
      <w:marLeft w:val="0"/>
      <w:marRight w:val="0"/>
      <w:marTop w:val="0"/>
      <w:marBottom w:val="0"/>
      <w:divBdr>
        <w:top w:val="none" w:sz="0" w:space="0" w:color="auto"/>
        <w:left w:val="none" w:sz="0" w:space="0" w:color="auto"/>
        <w:bottom w:val="none" w:sz="0" w:space="0" w:color="auto"/>
        <w:right w:val="none" w:sz="0" w:space="0" w:color="auto"/>
      </w:divBdr>
    </w:div>
    <w:div w:id="418138945">
      <w:bodyDiv w:val="1"/>
      <w:marLeft w:val="0"/>
      <w:marRight w:val="0"/>
      <w:marTop w:val="0"/>
      <w:marBottom w:val="0"/>
      <w:divBdr>
        <w:top w:val="none" w:sz="0" w:space="0" w:color="auto"/>
        <w:left w:val="none" w:sz="0" w:space="0" w:color="auto"/>
        <w:bottom w:val="none" w:sz="0" w:space="0" w:color="auto"/>
        <w:right w:val="none" w:sz="0" w:space="0" w:color="auto"/>
      </w:divBdr>
    </w:div>
    <w:div w:id="681586527">
      <w:bodyDiv w:val="1"/>
      <w:marLeft w:val="0"/>
      <w:marRight w:val="0"/>
      <w:marTop w:val="0"/>
      <w:marBottom w:val="0"/>
      <w:divBdr>
        <w:top w:val="none" w:sz="0" w:space="0" w:color="auto"/>
        <w:left w:val="none" w:sz="0" w:space="0" w:color="auto"/>
        <w:bottom w:val="none" w:sz="0" w:space="0" w:color="auto"/>
        <w:right w:val="none" w:sz="0" w:space="0" w:color="auto"/>
      </w:divBdr>
    </w:div>
    <w:div w:id="1122309838">
      <w:bodyDiv w:val="1"/>
      <w:marLeft w:val="0"/>
      <w:marRight w:val="0"/>
      <w:marTop w:val="0"/>
      <w:marBottom w:val="0"/>
      <w:divBdr>
        <w:top w:val="none" w:sz="0" w:space="0" w:color="auto"/>
        <w:left w:val="none" w:sz="0" w:space="0" w:color="auto"/>
        <w:bottom w:val="none" w:sz="0" w:space="0" w:color="auto"/>
        <w:right w:val="none" w:sz="0" w:space="0" w:color="auto"/>
      </w:divBdr>
      <w:divsChild>
        <w:div w:id="1063332160">
          <w:marLeft w:val="0"/>
          <w:marRight w:val="0"/>
          <w:marTop w:val="0"/>
          <w:marBottom w:val="0"/>
          <w:divBdr>
            <w:top w:val="none" w:sz="0" w:space="0" w:color="auto"/>
            <w:left w:val="none" w:sz="0" w:space="0" w:color="auto"/>
            <w:bottom w:val="none" w:sz="0" w:space="0" w:color="auto"/>
            <w:right w:val="none" w:sz="0" w:space="0" w:color="auto"/>
          </w:divBdr>
          <w:divsChild>
            <w:div w:id="4769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6761">
      <w:bodyDiv w:val="1"/>
      <w:marLeft w:val="0"/>
      <w:marRight w:val="0"/>
      <w:marTop w:val="0"/>
      <w:marBottom w:val="0"/>
      <w:divBdr>
        <w:top w:val="none" w:sz="0" w:space="0" w:color="auto"/>
        <w:left w:val="none" w:sz="0" w:space="0" w:color="auto"/>
        <w:bottom w:val="none" w:sz="0" w:space="0" w:color="auto"/>
        <w:right w:val="none" w:sz="0" w:space="0" w:color="auto"/>
      </w:divBdr>
    </w:div>
    <w:div w:id="1471438562">
      <w:bodyDiv w:val="1"/>
      <w:marLeft w:val="0"/>
      <w:marRight w:val="0"/>
      <w:marTop w:val="0"/>
      <w:marBottom w:val="0"/>
      <w:divBdr>
        <w:top w:val="none" w:sz="0" w:space="0" w:color="auto"/>
        <w:left w:val="none" w:sz="0" w:space="0" w:color="auto"/>
        <w:bottom w:val="none" w:sz="0" w:space="0" w:color="auto"/>
        <w:right w:val="none" w:sz="0" w:space="0" w:color="auto"/>
      </w:divBdr>
    </w:div>
    <w:div w:id="1791899715">
      <w:bodyDiv w:val="1"/>
      <w:marLeft w:val="0"/>
      <w:marRight w:val="0"/>
      <w:marTop w:val="0"/>
      <w:marBottom w:val="0"/>
      <w:divBdr>
        <w:top w:val="none" w:sz="0" w:space="0" w:color="auto"/>
        <w:left w:val="none" w:sz="0" w:space="0" w:color="auto"/>
        <w:bottom w:val="none" w:sz="0" w:space="0" w:color="auto"/>
        <w:right w:val="none" w:sz="0" w:space="0" w:color="auto"/>
      </w:divBdr>
    </w:div>
    <w:div w:id="1875343706">
      <w:bodyDiv w:val="1"/>
      <w:marLeft w:val="0"/>
      <w:marRight w:val="0"/>
      <w:marTop w:val="0"/>
      <w:marBottom w:val="0"/>
      <w:divBdr>
        <w:top w:val="none" w:sz="0" w:space="0" w:color="auto"/>
        <w:left w:val="none" w:sz="0" w:space="0" w:color="auto"/>
        <w:bottom w:val="none" w:sz="0" w:space="0" w:color="auto"/>
        <w:right w:val="none" w:sz="0" w:space="0" w:color="auto"/>
      </w:divBdr>
    </w:div>
    <w:div w:id="2001735466">
      <w:bodyDiv w:val="1"/>
      <w:marLeft w:val="0"/>
      <w:marRight w:val="0"/>
      <w:marTop w:val="0"/>
      <w:marBottom w:val="0"/>
      <w:divBdr>
        <w:top w:val="none" w:sz="0" w:space="0" w:color="auto"/>
        <w:left w:val="none" w:sz="0" w:space="0" w:color="auto"/>
        <w:bottom w:val="none" w:sz="0" w:space="0" w:color="auto"/>
        <w:right w:val="none" w:sz="0" w:space="0" w:color="auto"/>
      </w:divBdr>
    </w:div>
    <w:div w:id="2076967761">
      <w:bodyDiv w:val="1"/>
      <w:marLeft w:val="0"/>
      <w:marRight w:val="0"/>
      <w:marTop w:val="0"/>
      <w:marBottom w:val="0"/>
      <w:divBdr>
        <w:top w:val="none" w:sz="0" w:space="0" w:color="auto"/>
        <w:left w:val="none" w:sz="0" w:space="0" w:color="auto"/>
        <w:bottom w:val="none" w:sz="0" w:space="0" w:color="auto"/>
        <w:right w:val="none" w:sz="0" w:space="0" w:color="auto"/>
      </w:divBdr>
      <w:divsChild>
        <w:div w:id="1359890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thingi.is/lagas/nuna/1999099.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493276E69F42C0A30B74FEF0F33FE3"/>
        <w:category>
          <w:name w:val="General"/>
          <w:gallery w:val="placeholder"/>
        </w:category>
        <w:types>
          <w:type w:val="bbPlcHdr"/>
        </w:types>
        <w:behaviors>
          <w:behavior w:val="content"/>
        </w:behaviors>
        <w:guid w:val="{7748C24E-068B-4D13-B3DE-447CCB385C6B}"/>
      </w:docPartPr>
      <w:docPartBody>
        <w:p w:rsidR="003F2F1F" w:rsidRDefault="00E67608" w:rsidP="00E67608">
          <w:pPr>
            <w:pStyle w:val="8E493276E69F42C0A30B74FEF0F33FE3"/>
          </w:pPr>
          <w:r>
            <w:rPr>
              <w:rFonts w:ascii="Times New Roman" w:hAnsi="Times New Roman" w:cs="Times New Roman"/>
            </w:rPr>
            <w:t>Textasvæði</w:t>
          </w:r>
        </w:p>
      </w:docPartBody>
    </w:docPart>
    <w:docPart>
      <w:docPartPr>
        <w:name w:val="3428B75E9CEB45B2A6CCFCF515956FDC"/>
        <w:category>
          <w:name w:val="General"/>
          <w:gallery w:val="placeholder"/>
        </w:category>
        <w:types>
          <w:type w:val="bbPlcHdr"/>
        </w:types>
        <w:behaviors>
          <w:behavior w:val="content"/>
        </w:behaviors>
        <w:guid w:val="{9717247B-A3F6-4E1E-AE14-03B60C462EB9}"/>
      </w:docPartPr>
      <w:docPartBody>
        <w:p w:rsidR="003F2F1F" w:rsidRDefault="00E67608" w:rsidP="00E67608">
          <w:pPr>
            <w:pStyle w:val="3428B75E9CEB45B2A6CCFCF515956FDC"/>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08"/>
    <w:rsid w:val="000C3E94"/>
    <w:rsid w:val="003F2F1F"/>
    <w:rsid w:val="00E6760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493276E69F42C0A30B74FEF0F33FE3">
    <w:name w:val="8E493276E69F42C0A30B74FEF0F33FE3"/>
    <w:rsid w:val="00E67608"/>
  </w:style>
  <w:style w:type="paragraph" w:customStyle="1" w:styleId="3428B75E9CEB45B2A6CCFCF515956FDC">
    <w:name w:val="3428B75E9CEB45B2A6CCFCF515956FDC"/>
    <w:rsid w:val="00E67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DC71-5131-42A4-A956-ABBBC211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2021-07-07T11:02:00Z</dcterms:created>
  <dcterms:modified xsi:type="dcterms:W3CDTF">2021-08-19T13:02:00Z</dcterms:modified>
</cp:coreProperties>
</file>